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6BF99" w14:textId="77777777" w:rsidR="00741ECF" w:rsidRPr="00717565" w:rsidRDefault="00131D8C" w:rsidP="008E154F">
      <w:pPr>
        <w:spacing w:after="0" w:line="240" w:lineRule="auto"/>
        <w:rPr>
          <w:rFonts w:asciiTheme="minorHAnsi" w:hAnsiTheme="minorHAnsi" w:cstheme="minorHAnsi"/>
          <w:b/>
          <w:color w:val="373737"/>
          <w:sz w:val="18"/>
          <w:szCs w:val="18"/>
        </w:rPr>
      </w:pPr>
      <w:r w:rsidRPr="00717565">
        <w:rPr>
          <w:rFonts w:asciiTheme="minorHAnsi" w:hAnsiTheme="minorHAnsi" w:cstheme="minorHAnsi"/>
          <w:b/>
          <w:color w:val="373737"/>
          <w:sz w:val="18"/>
          <w:szCs w:val="18"/>
        </w:rPr>
        <w:t>Informacja o projekcie:</w:t>
      </w:r>
    </w:p>
    <w:tbl>
      <w:tblPr>
        <w:tblW w:w="13994" w:type="dxa"/>
        <w:tblLayout w:type="fixed"/>
        <w:tblLook w:val="04A0" w:firstRow="1" w:lastRow="0" w:firstColumn="1" w:lastColumn="0" w:noHBand="0" w:noVBand="1"/>
      </w:tblPr>
      <w:tblGrid>
        <w:gridCol w:w="2356"/>
        <w:gridCol w:w="11638"/>
      </w:tblGrid>
      <w:tr w:rsidR="00741ECF" w:rsidRPr="00717565" w14:paraId="0351E72F"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4A414099"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Tytuł</w:t>
            </w:r>
          </w:p>
        </w:tc>
        <w:tc>
          <w:tcPr>
            <w:tcW w:w="11637" w:type="dxa"/>
            <w:tcBorders>
              <w:top w:val="single" w:sz="4" w:space="0" w:color="000000"/>
              <w:left w:val="single" w:sz="4" w:space="0" w:color="000000"/>
              <w:bottom w:val="single" w:sz="4" w:space="0" w:color="000000"/>
              <w:right w:val="single" w:sz="4" w:space="0" w:color="000000"/>
            </w:tcBorders>
            <w:vAlign w:val="center"/>
          </w:tcPr>
          <w:p w14:paraId="44581CB3" w14:textId="79D4494A"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 xml:space="preserve">Rozporządzenie Ministra Finansów i Gospodarki </w:t>
            </w:r>
            <w:r w:rsidR="00132C49" w:rsidRPr="00132C49">
              <w:rPr>
                <w:rFonts w:asciiTheme="minorHAnsi" w:hAnsiTheme="minorHAnsi" w:cstheme="minorHAnsi"/>
                <w:sz w:val="18"/>
                <w:szCs w:val="18"/>
              </w:rPr>
              <w:t>w sprawie zbiorów danych przestrzennych oraz metadanych w zakresie zagospodarowania przestrzennego</w:t>
            </w:r>
          </w:p>
        </w:tc>
      </w:tr>
      <w:tr w:rsidR="00741ECF" w:rsidRPr="00717565" w14:paraId="751DD5BD"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781E959E"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Autor</w:t>
            </w:r>
          </w:p>
        </w:tc>
        <w:tc>
          <w:tcPr>
            <w:tcW w:w="11637" w:type="dxa"/>
            <w:tcBorders>
              <w:top w:val="single" w:sz="4" w:space="0" w:color="000000"/>
              <w:left w:val="single" w:sz="4" w:space="0" w:color="000000"/>
              <w:bottom w:val="single" w:sz="4" w:space="0" w:color="000000"/>
              <w:right w:val="single" w:sz="4" w:space="0" w:color="000000"/>
            </w:tcBorders>
            <w:vAlign w:val="center"/>
          </w:tcPr>
          <w:p w14:paraId="485EBA4C"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Minister Finansów i Gospodarki</w:t>
            </w:r>
          </w:p>
        </w:tc>
      </w:tr>
      <w:tr w:rsidR="00741ECF" w:rsidRPr="00717565" w14:paraId="5EAD319E"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149DB597"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Projekt z dnia</w:t>
            </w:r>
          </w:p>
        </w:tc>
        <w:tc>
          <w:tcPr>
            <w:tcW w:w="11637" w:type="dxa"/>
            <w:tcBorders>
              <w:top w:val="single" w:sz="4" w:space="0" w:color="000000"/>
              <w:left w:val="single" w:sz="4" w:space="0" w:color="000000"/>
              <w:bottom w:val="single" w:sz="4" w:space="0" w:color="000000"/>
              <w:right w:val="single" w:sz="4" w:space="0" w:color="000000"/>
            </w:tcBorders>
            <w:vAlign w:val="center"/>
          </w:tcPr>
          <w:p w14:paraId="014C1423" w14:textId="432066A9" w:rsidR="00741ECF" w:rsidRPr="00717565" w:rsidRDefault="00132C49" w:rsidP="008E154F">
            <w:pPr>
              <w:spacing w:after="0" w:line="240" w:lineRule="auto"/>
              <w:rPr>
                <w:rFonts w:asciiTheme="minorHAnsi" w:hAnsiTheme="minorHAnsi" w:cstheme="minorHAnsi"/>
                <w:sz w:val="18"/>
                <w:szCs w:val="18"/>
              </w:rPr>
            </w:pPr>
            <w:r>
              <w:rPr>
                <w:rFonts w:asciiTheme="minorHAnsi" w:hAnsiTheme="minorHAnsi" w:cstheme="minorHAnsi"/>
                <w:sz w:val="18"/>
                <w:szCs w:val="18"/>
              </w:rPr>
              <w:t>14.05</w:t>
            </w:r>
            <w:r w:rsidR="00131D8C" w:rsidRPr="00717565">
              <w:rPr>
                <w:rFonts w:asciiTheme="minorHAnsi" w:hAnsiTheme="minorHAnsi" w:cstheme="minorHAnsi"/>
                <w:sz w:val="18"/>
                <w:szCs w:val="18"/>
              </w:rPr>
              <w:t>.2026</w:t>
            </w:r>
          </w:p>
        </w:tc>
      </w:tr>
    </w:tbl>
    <w:p w14:paraId="2BE3C5BD" w14:textId="77777777" w:rsidR="00381E89" w:rsidRPr="00717565" w:rsidRDefault="00381E89" w:rsidP="003835C8">
      <w:pPr>
        <w:spacing w:after="0" w:line="240" w:lineRule="auto"/>
        <w:rPr>
          <w:rFonts w:asciiTheme="minorHAnsi" w:hAnsiTheme="minorHAnsi" w:cstheme="minorHAnsi"/>
          <w:sz w:val="18"/>
          <w:szCs w:val="18"/>
        </w:rPr>
      </w:pPr>
    </w:p>
    <w:p w14:paraId="112E7E1B" w14:textId="77777777" w:rsidR="00741ECF" w:rsidRPr="00717565" w:rsidRDefault="00131D8C" w:rsidP="008E154F">
      <w:pPr>
        <w:spacing w:after="0" w:line="240" w:lineRule="auto"/>
        <w:rPr>
          <w:rFonts w:asciiTheme="minorHAnsi" w:hAnsiTheme="minorHAnsi" w:cstheme="minorHAnsi"/>
          <w:b/>
          <w:i/>
          <w:sz w:val="18"/>
          <w:szCs w:val="18"/>
        </w:rPr>
      </w:pPr>
      <w:r w:rsidRPr="00717565">
        <w:rPr>
          <w:rFonts w:asciiTheme="minorHAnsi" w:hAnsiTheme="minorHAnsi" w:cstheme="minorHAnsi"/>
          <w:b/>
          <w:sz w:val="18"/>
          <w:szCs w:val="18"/>
        </w:rPr>
        <w:t>Uwagi:</w:t>
      </w:r>
    </w:p>
    <w:tbl>
      <w:tblPr>
        <w:tblW w:w="14459" w:type="dxa"/>
        <w:tblInd w:w="-289" w:type="dxa"/>
        <w:tblLayout w:type="fixed"/>
        <w:tblLook w:val="06A0" w:firstRow="1" w:lastRow="0" w:firstColumn="1" w:lastColumn="0" w:noHBand="1" w:noVBand="1"/>
      </w:tblPr>
      <w:tblGrid>
        <w:gridCol w:w="462"/>
        <w:gridCol w:w="1523"/>
        <w:gridCol w:w="1560"/>
        <w:gridCol w:w="3794"/>
        <w:gridCol w:w="4002"/>
        <w:gridCol w:w="3118"/>
      </w:tblGrid>
      <w:tr w:rsidR="009B768E" w:rsidRPr="00445908" w14:paraId="529DC262"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3FA88E20" w14:textId="77777777" w:rsidR="009B768E" w:rsidRPr="00445908" w:rsidRDefault="009B768E" w:rsidP="008E154F">
            <w:pPr>
              <w:spacing w:after="0" w:line="240" w:lineRule="auto"/>
              <w:rPr>
                <w:rFonts w:asciiTheme="minorHAnsi" w:hAnsiTheme="minorHAnsi" w:cstheme="minorHAnsi"/>
                <w:b/>
                <w:bCs/>
                <w:sz w:val="18"/>
                <w:szCs w:val="18"/>
              </w:rPr>
            </w:pPr>
            <w:r w:rsidRPr="00445908">
              <w:rPr>
                <w:rFonts w:asciiTheme="minorHAnsi" w:hAnsiTheme="minorHAnsi" w:cstheme="minorHAnsi"/>
                <w:b/>
                <w:bCs/>
                <w:sz w:val="18"/>
                <w:szCs w:val="18"/>
              </w:rPr>
              <w:t>Lp.</w:t>
            </w:r>
          </w:p>
        </w:tc>
        <w:tc>
          <w:tcPr>
            <w:tcW w:w="1523" w:type="dxa"/>
            <w:tcBorders>
              <w:top w:val="single" w:sz="4" w:space="0" w:color="000000"/>
              <w:left w:val="single" w:sz="4" w:space="0" w:color="000000"/>
              <w:bottom w:val="single" w:sz="4" w:space="0" w:color="000000"/>
              <w:right w:val="single" w:sz="4" w:space="0" w:color="000000"/>
            </w:tcBorders>
          </w:tcPr>
          <w:p w14:paraId="0723C25D" w14:textId="28F8515B" w:rsidR="009B768E" w:rsidRPr="00445908" w:rsidRDefault="009B768E" w:rsidP="008E154F">
            <w:pPr>
              <w:spacing w:after="0" w:line="240" w:lineRule="auto"/>
              <w:rPr>
                <w:rFonts w:asciiTheme="minorHAnsi" w:hAnsiTheme="minorHAnsi" w:cstheme="minorHAnsi"/>
                <w:b/>
                <w:bCs/>
                <w:sz w:val="18"/>
                <w:szCs w:val="18"/>
              </w:rPr>
            </w:pPr>
            <w:r w:rsidRPr="00445908">
              <w:rPr>
                <w:rFonts w:asciiTheme="minorHAnsi" w:hAnsiTheme="minorHAnsi" w:cstheme="minorHAnsi"/>
                <w:b/>
                <w:bCs/>
                <w:sz w:val="18"/>
                <w:szCs w:val="18"/>
              </w:rPr>
              <w:t>Zgłaszający uwagę</w:t>
            </w:r>
          </w:p>
          <w:p w14:paraId="4BF9FAB4" w14:textId="4D55AEF0" w:rsidR="009B768E" w:rsidRPr="00445908" w:rsidRDefault="009B768E" w:rsidP="008E154F">
            <w:pPr>
              <w:spacing w:after="0" w:line="240" w:lineRule="auto"/>
              <w:rPr>
                <w:rFonts w:asciiTheme="minorHAnsi" w:hAnsiTheme="minorHAnsi" w:cstheme="minorHAnsi"/>
                <w:b/>
                <w:bCs/>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06143EE" w14:textId="712FA5D6" w:rsidR="009B768E" w:rsidRPr="00445908" w:rsidRDefault="009B768E" w:rsidP="008E154F">
            <w:pPr>
              <w:spacing w:after="0" w:line="240" w:lineRule="auto"/>
              <w:rPr>
                <w:rFonts w:asciiTheme="minorHAnsi" w:hAnsiTheme="minorHAnsi" w:cstheme="minorHAnsi"/>
                <w:b/>
                <w:bCs/>
                <w:sz w:val="18"/>
                <w:szCs w:val="18"/>
              </w:rPr>
            </w:pPr>
            <w:r w:rsidRPr="00445908">
              <w:rPr>
                <w:rFonts w:asciiTheme="minorHAnsi" w:hAnsiTheme="minorHAnsi" w:cstheme="minorHAnsi"/>
                <w:b/>
                <w:bCs/>
                <w:sz w:val="18"/>
                <w:szCs w:val="18"/>
              </w:rPr>
              <w:t>Część dokumentu, do którego odnosi się uwaga (np. art., nr str., rozdział)</w:t>
            </w:r>
          </w:p>
        </w:tc>
        <w:tc>
          <w:tcPr>
            <w:tcW w:w="3794" w:type="dxa"/>
            <w:tcBorders>
              <w:top w:val="single" w:sz="4" w:space="0" w:color="000000"/>
              <w:left w:val="single" w:sz="4" w:space="0" w:color="000000"/>
              <w:bottom w:val="single" w:sz="4" w:space="0" w:color="000000"/>
              <w:right w:val="single" w:sz="4" w:space="0" w:color="000000"/>
            </w:tcBorders>
          </w:tcPr>
          <w:p w14:paraId="6E77E749" w14:textId="0BF0D93C" w:rsidR="009B768E" w:rsidRPr="00445908" w:rsidRDefault="009B768E" w:rsidP="008E154F">
            <w:pPr>
              <w:spacing w:after="0" w:line="240" w:lineRule="auto"/>
              <w:rPr>
                <w:rFonts w:asciiTheme="minorHAnsi" w:hAnsiTheme="minorHAnsi" w:cstheme="minorHAnsi"/>
                <w:b/>
                <w:bCs/>
                <w:sz w:val="18"/>
                <w:szCs w:val="18"/>
              </w:rPr>
            </w:pPr>
            <w:r w:rsidRPr="00445908">
              <w:rPr>
                <w:rFonts w:asciiTheme="minorHAnsi" w:hAnsiTheme="minorHAnsi" w:cstheme="minorHAnsi"/>
                <w:b/>
                <w:bCs/>
                <w:sz w:val="18"/>
                <w:szCs w:val="18"/>
              </w:rPr>
              <w:t xml:space="preserve">Treść uwagi </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08F0D5F5" w14:textId="207C9A93" w:rsidR="009B768E" w:rsidRPr="00445908" w:rsidRDefault="009B768E" w:rsidP="008E154F">
            <w:pPr>
              <w:spacing w:after="0" w:line="240" w:lineRule="auto"/>
              <w:rPr>
                <w:rFonts w:asciiTheme="minorHAnsi" w:hAnsiTheme="minorHAnsi" w:cstheme="minorHAnsi"/>
                <w:b/>
                <w:bCs/>
                <w:sz w:val="18"/>
                <w:szCs w:val="18"/>
              </w:rPr>
            </w:pPr>
            <w:r>
              <w:rPr>
                <w:rFonts w:asciiTheme="minorHAnsi" w:hAnsiTheme="minorHAnsi" w:cstheme="minorHAnsi"/>
                <w:b/>
                <w:bCs/>
                <w:sz w:val="18"/>
                <w:szCs w:val="18"/>
              </w:rPr>
              <w:t>Propozycja zmiany</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1A4CC3FD" w14:textId="77777777" w:rsidR="009B768E" w:rsidRPr="00445908" w:rsidRDefault="009B768E" w:rsidP="008E154F">
            <w:pPr>
              <w:spacing w:after="0" w:line="240" w:lineRule="auto"/>
              <w:rPr>
                <w:rFonts w:asciiTheme="minorHAnsi" w:hAnsiTheme="minorHAnsi" w:cstheme="minorHAnsi"/>
                <w:b/>
                <w:bCs/>
                <w:sz w:val="18"/>
                <w:szCs w:val="18"/>
              </w:rPr>
            </w:pPr>
            <w:r w:rsidRPr="00445908">
              <w:rPr>
                <w:rFonts w:asciiTheme="minorHAnsi" w:hAnsiTheme="minorHAnsi" w:cstheme="minorHAnsi"/>
                <w:b/>
                <w:bCs/>
                <w:sz w:val="18"/>
                <w:szCs w:val="18"/>
              </w:rPr>
              <w:t>Stanowisko resortu</w:t>
            </w:r>
          </w:p>
        </w:tc>
      </w:tr>
      <w:tr w:rsidR="009B768E" w:rsidRPr="00445908" w14:paraId="140DDCF4"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11E5C616"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36ECFEDA" w14:textId="31DB57AB"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3CF9C843" w14:textId="50D5BCD0"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nr 1, pkt 2.10, pozycja 9 (str. 25)</w:t>
            </w:r>
          </w:p>
        </w:tc>
        <w:tc>
          <w:tcPr>
            <w:tcW w:w="3794" w:type="dxa"/>
            <w:tcBorders>
              <w:top w:val="single" w:sz="4" w:space="0" w:color="000000"/>
              <w:left w:val="single" w:sz="4" w:space="0" w:color="000000"/>
              <w:bottom w:val="single" w:sz="4" w:space="0" w:color="000000"/>
              <w:right w:val="single" w:sz="4" w:space="0" w:color="000000"/>
            </w:tcBorders>
          </w:tcPr>
          <w:p w14:paraId="32B95766" w14:textId="77777777" w:rsidR="009B768E" w:rsidRPr="00445908" w:rsidRDefault="009B768E" w:rsidP="002A5E92">
            <w:pPr>
              <w:spacing w:after="0" w:line="240" w:lineRule="auto"/>
              <w:rPr>
                <w:rFonts w:asciiTheme="minorHAnsi" w:hAnsiTheme="minorHAnsi" w:cstheme="minorHAnsi"/>
                <w:i/>
                <w:sz w:val="18"/>
                <w:szCs w:val="18"/>
              </w:rPr>
            </w:pPr>
            <w:r w:rsidRPr="00445908">
              <w:rPr>
                <w:rFonts w:asciiTheme="minorHAnsi" w:hAnsiTheme="minorHAnsi" w:cstheme="minorHAnsi"/>
                <w:sz w:val="18"/>
                <w:szCs w:val="18"/>
              </w:rPr>
              <w:t xml:space="preserve">Widnieje wpis, cyt. </w:t>
            </w:r>
            <w:r w:rsidRPr="00445908">
              <w:rPr>
                <w:rFonts w:asciiTheme="minorHAnsi" w:hAnsiTheme="minorHAnsi" w:cstheme="minorHAnsi"/>
                <w:i/>
                <w:sz w:val="18"/>
                <w:szCs w:val="18"/>
              </w:rPr>
              <w:t>„</w:t>
            </w:r>
          </w:p>
          <w:p w14:paraId="55848EBA" w14:textId="0B5AA3BF"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i/>
                <w:sz w:val="18"/>
                <w:szCs w:val="18"/>
              </w:rPr>
              <w:t xml:space="preserve">§ 5 ust. 1 pkt 1 rozporządzenia”. </w:t>
            </w:r>
            <w:r w:rsidRPr="00445908">
              <w:rPr>
                <w:rFonts w:asciiTheme="minorHAnsi" w:hAnsiTheme="minorHAnsi" w:cstheme="minorHAnsi"/>
                <w:sz w:val="18"/>
                <w:szCs w:val="18"/>
              </w:rPr>
              <w:t>Pkt 2.10 dotyczy identyfikatora obiektu przestrzennego a nie zbioru danych przestrzennych, zatem odnosić się powinien do § 6.</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59644DFC" w14:textId="2F489900"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b/>
                <w:bCs/>
                <w:sz w:val="18"/>
                <w:szCs w:val="18"/>
              </w:rPr>
              <w:t xml:space="preserve">Błędne odwołanie dot. </w:t>
            </w:r>
            <w:proofErr w:type="spellStart"/>
            <w:r w:rsidRPr="00445908">
              <w:rPr>
                <w:rFonts w:asciiTheme="minorHAnsi" w:hAnsiTheme="minorHAnsi" w:cstheme="minorHAnsi"/>
                <w:sz w:val="18"/>
                <w:szCs w:val="18"/>
              </w:rPr>
              <w:t>przestrzenNazw</w:t>
            </w:r>
            <w:proofErr w:type="spellEnd"/>
            <w:r w:rsidRPr="00445908">
              <w:rPr>
                <w:rFonts w:asciiTheme="minorHAnsi" w:hAnsiTheme="minorHAnsi" w:cstheme="minorHAnsi"/>
                <w:b/>
                <w:bCs/>
                <w:sz w:val="18"/>
                <w:szCs w:val="18"/>
              </w:rPr>
              <w:t>:</w:t>
            </w:r>
            <w:r w:rsidRPr="00445908">
              <w:rPr>
                <w:rFonts w:asciiTheme="minorHAnsi" w:hAnsiTheme="minorHAnsi" w:cstheme="minorHAnsi"/>
                <w:sz w:val="18"/>
                <w:szCs w:val="18"/>
              </w:rPr>
              <w:t xml:space="preserve"> Załącznik odsyła do </w:t>
            </w:r>
            <w:r w:rsidRPr="00445908">
              <w:rPr>
                <w:rFonts w:asciiTheme="minorHAnsi" w:hAnsiTheme="minorHAnsi" w:cstheme="minorHAnsi"/>
                <w:b/>
                <w:bCs/>
                <w:sz w:val="18"/>
                <w:szCs w:val="18"/>
              </w:rPr>
              <w:t>§ 5 ust. 1 pkt 1</w:t>
            </w:r>
            <w:r w:rsidRPr="00445908">
              <w:rPr>
                <w:rFonts w:asciiTheme="minorHAnsi" w:hAnsiTheme="minorHAnsi" w:cstheme="minorHAnsi"/>
                <w:sz w:val="18"/>
                <w:szCs w:val="18"/>
              </w:rPr>
              <w:t xml:space="preserve"> projektu, choć paragraf ten rzeczywiście definiuje przestrzeń nazw, dotyczy ona identyfikatora </w:t>
            </w:r>
            <w:r w:rsidRPr="00445908">
              <w:rPr>
                <w:rFonts w:asciiTheme="minorHAnsi" w:hAnsiTheme="minorHAnsi" w:cstheme="minorHAnsi"/>
                <w:i/>
                <w:iCs/>
                <w:sz w:val="18"/>
                <w:szCs w:val="18"/>
              </w:rPr>
              <w:t>zbioru</w:t>
            </w:r>
            <w:r w:rsidRPr="00445908">
              <w:rPr>
                <w:rFonts w:asciiTheme="minorHAnsi" w:hAnsiTheme="minorHAnsi" w:cstheme="minorHAnsi"/>
                <w:sz w:val="18"/>
                <w:szCs w:val="18"/>
              </w:rPr>
              <w:t xml:space="preserve"> danych. W przypadku </w:t>
            </w:r>
            <w:r w:rsidRPr="00445908">
              <w:rPr>
                <w:rFonts w:asciiTheme="minorHAnsi" w:hAnsiTheme="minorHAnsi" w:cstheme="minorHAnsi"/>
                <w:i/>
                <w:iCs/>
                <w:sz w:val="18"/>
                <w:szCs w:val="18"/>
              </w:rPr>
              <w:t>obiektu</w:t>
            </w:r>
            <w:r w:rsidRPr="00445908">
              <w:rPr>
                <w:rFonts w:asciiTheme="minorHAnsi" w:hAnsiTheme="minorHAnsi" w:cstheme="minorHAnsi"/>
                <w:sz w:val="18"/>
                <w:szCs w:val="18"/>
              </w:rPr>
              <w:t xml:space="preserve"> przestrzennego, właściwym przepisem określającym przestrzeń nazw jest </w:t>
            </w:r>
            <w:r w:rsidRPr="00445908">
              <w:rPr>
                <w:rFonts w:asciiTheme="minorHAnsi" w:hAnsiTheme="minorHAnsi" w:cstheme="minorHAnsi"/>
                <w:b/>
                <w:bCs/>
                <w:sz w:val="18"/>
                <w:szCs w:val="18"/>
              </w:rPr>
              <w:t>§ 6 ust. 1 pkt 1</w:t>
            </w:r>
            <w:r w:rsidRPr="00445908">
              <w:rPr>
                <w:rFonts w:asciiTheme="minorHAnsi" w:hAnsiTheme="minorHAnsi" w:cstheme="minorHAnsi"/>
                <w:sz w:val="18"/>
                <w:szCs w:val="1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0F225AD6"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uwzględniona.</w:t>
            </w:r>
          </w:p>
          <w:p w14:paraId="7810A345" w14:textId="3403824F"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Przepis zostanie zmieniony.</w:t>
            </w:r>
          </w:p>
        </w:tc>
      </w:tr>
      <w:tr w:rsidR="009B768E" w:rsidRPr="00445908" w14:paraId="7BBDED81"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3998CE00"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3623B456" w14:textId="27C57EE2"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12CA1505" w14:textId="05AADDE1"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nr 1, pkt 2.10, pozycja 14 (str. 25)</w:t>
            </w:r>
          </w:p>
        </w:tc>
        <w:tc>
          <w:tcPr>
            <w:tcW w:w="3794" w:type="dxa"/>
            <w:tcBorders>
              <w:top w:val="single" w:sz="4" w:space="0" w:color="000000"/>
              <w:left w:val="single" w:sz="4" w:space="0" w:color="000000"/>
              <w:bottom w:val="single" w:sz="4" w:space="0" w:color="000000"/>
              <w:right w:val="single" w:sz="4" w:space="0" w:color="000000"/>
            </w:tcBorders>
          </w:tcPr>
          <w:p w14:paraId="070EB7AA" w14:textId="77777777" w:rsidR="009B768E" w:rsidRPr="00445908" w:rsidRDefault="009B768E" w:rsidP="002A5E92">
            <w:pPr>
              <w:spacing w:after="0" w:line="240" w:lineRule="auto"/>
              <w:rPr>
                <w:rFonts w:asciiTheme="minorHAnsi" w:hAnsiTheme="minorHAnsi" w:cstheme="minorHAnsi"/>
                <w:i/>
                <w:sz w:val="18"/>
                <w:szCs w:val="18"/>
              </w:rPr>
            </w:pPr>
            <w:r w:rsidRPr="00445908">
              <w:rPr>
                <w:rFonts w:asciiTheme="minorHAnsi" w:hAnsiTheme="minorHAnsi" w:cstheme="minorHAnsi"/>
                <w:sz w:val="18"/>
                <w:szCs w:val="18"/>
              </w:rPr>
              <w:t xml:space="preserve">Widnieje wpis, cyt. </w:t>
            </w:r>
            <w:r w:rsidRPr="00445908">
              <w:rPr>
                <w:rFonts w:asciiTheme="minorHAnsi" w:hAnsiTheme="minorHAnsi" w:cstheme="minorHAnsi"/>
                <w:i/>
                <w:sz w:val="18"/>
                <w:szCs w:val="18"/>
              </w:rPr>
              <w:t>„</w:t>
            </w:r>
          </w:p>
          <w:p w14:paraId="6D95291F" w14:textId="5AA8ADB4"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i/>
                <w:sz w:val="18"/>
                <w:szCs w:val="18"/>
              </w:rPr>
              <w:t xml:space="preserve">§ 5 ust. 1 pkt 2 oraz § 5 ust  1a rozporządzenia” </w:t>
            </w:r>
            <w:r w:rsidRPr="00445908">
              <w:rPr>
                <w:rFonts w:asciiTheme="minorHAnsi" w:hAnsiTheme="minorHAnsi" w:cstheme="minorHAnsi"/>
                <w:sz w:val="18"/>
                <w:szCs w:val="18"/>
              </w:rPr>
              <w:t>. W treści projektu rozporządzenia nie ma ust. 1a. Ponadto pkt 2.10 dotyczy identyfikatora obiektu przestrzennego a nie zbioru danych przestrzennych, zatem odnosić się powinien do § 6.</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0E576EF8" w14:textId="141CAE08"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b/>
                <w:bCs/>
                <w:sz w:val="18"/>
                <w:szCs w:val="18"/>
              </w:rPr>
              <w:t xml:space="preserve">Błędne odwołanie dot. </w:t>
            </w:r>
            <w:proofErr w:type="spellStart"/>
            <w:r w:rsidRPr="00445908">
              <w:rPr>
                <w:rFonts w:asciiTheme="minorHAnsi" w:hAnsiTheme="minorHAnsi" w:cstheme="minorHAnsi"/>
                <w:sz w:val="18"/>
                <w:szCs w:val="18"/>
              </w:rPr>
              <w:t>lokalnyId</w:t>
            </w:r>
            <w:proofErr w:type="spellEnd"/>
            <w:r w:rsidRPr="00445908">
              <w:rPr>
                <w:rFonts w:asciiTheme="minorHAnsi" w:hAnsiTheme="minorHAnsi" w:cstheme="minorHAnsi"/>
                <w:b/>
                <w:bCs/>
                <w:sz w:val="18"/>
                <w:szCs w:val="18"/>
              </w:rPr>
              <w:t>:</w:t>
            </w:r>
            <w:r w:rsidRPr="00445908">
              <w:rPr>
                <w:rFonts w:asciiTheme="minorHAnsi" w:hAnsiTheme="minorHAnsi" w:cstheme="minorHAnsi"/>
                <w:sz w:val="18"/>
                <w:szCs w:val="18"/>
              </w:rPr>
              <w:t xml:space="preserve"> Załącznik odwołuje się do </w:t>
            </w:r>
            <w:r w:rsidRPr="00445908">
              <w:rPr>
                <w:rFonts w:asciiTheme="minorHAnsi" w:hAnsiTheme="minorHAnsi" w:cstheme="minorHAnsi"/>
                <w:b/>
                <w:bCs/>
                <w:sz w:val="18"/>
                <w:szCs w:val="18"/>
              </w:rPr>
              <w:t>§ 5 ust. 1 pkt 2</w:t>
            </w:r>
            <w:r w:rsidRPr="00445908">
              <w:rPr>
                <w:rFonts w:asciiTheme="minorHAnsi" w:hAnsiTheme="minorHAnsi" w:cstheme="minorHAnsi"/>
                <w:sz w:val="18"/>
                <w:szCs w:val="18"/>
              </w:rPr>
              <w:t xml:space="preserve"> oraz nieistniejącego w projekcie </w:t>
            </w:r>
            <w:r w:rsidRPr="00445908">
              <w:rPr>
                <w:rFonts w:asciiTheme="minorHAnsi" w:hAnsiTheme="minorHAnsi" w:cstheme="minorHAnsi"/>
                <w:b/>
                <w:bCs/>
                <w:sz w:val="18"/>
                <w:szCs w:val="18"/>
              </w:rPr>
              <w:t>§ 5 ust. 1a</w:t>
            </w:r>
            <w:r w:rsidRPr="00445908">
              <w:rPr>
                <w:rFonts w:asciiTheme="minorHAnsi" w:hAnsiTheme="minorHAnsi" w:cstheme="minorHAnsi"/>
                <w:sz w:val="18"/>
                <w:szCs w:val="18"/>
              </w:rPr>
              <w:t xml:space="preserve">. Paragraf 5 ust. 1 pkt 2 dotyczy unikalnego kodu </w:t>
            </w:r>
            <w:r w:rsidRPr="00445908">
              <w:rPr>
                <w:rFonts w:asciiTheme="minorHAnsi" w:hAnsiTheme="minorHAnsi" w:cstheme="minorHAnsi"/>
                <w:i/>
                <w:iCs/>
                <w:sz w:val="18"/>
                <w:szCs w:val="18"/>
              </w:rPr>
              <w:t>zbioru</w:t>
            </w:r>
            <w:r w:rsidRPr="00445908">
              <w:rPr>
                <w:rFonts w:asciiTheme="minorHAnsi" w:hAnsiTheme="minorHAnsi" w:cstheme="minorHAnsi"/>
                <w:sz w:val="18"/>
                <w:szCs w:val="18"/>
              </w:rPr>
              <w:t xml:space="preserve">. Właściwym przepisem dla identyfikatora lokalnego </w:t>
            </w:r>
            <w:r w:rsidRPr="00445908">
              <w:rPr>
                <w:rFonts w:asciiTheme="minorHAnsi" w:hAnsiTheme="minorHAnsi" w:cstheme="minorHAnsi"/>
                <w:i/>
                <w:iCs/>
                <w:sz w:val="18"/>
                <w:szCs w:val="18"/>
              </w:rPr>
              <w:t>obiektu</w:t>
            </w:r>
            <w:r w:rsidRPr="00445908">
              <w:rPr>
                <w:rFonts w:asciiTheme="minorHAnsi" w:hAnsiTheme="minorHAnsi" w:cstheme="minorHAnsi"/>
                <w:sz w:val="18"/>
                <w:szCs w:val="18"/>
              </w:rPr>
              <w:t xml:space="preserve"> jest </w:t>
            </w:r>
            <w:r w:rsidRPr="00445908">
              <w:rPr>
                <w:rFonts w:asciiTheme="minorHAnsi" w:hAnsiTheme="minorHAnsi" w:cstheme="minorHAnsi"/>
                <w:b/>
                <w:bCs/>
                <w:sz w:val="18"/>
                <w:szCs w:val="18"/>
              </w:rPr>
              <w:t>§ 6 ust. 1 pkt 2.</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2B4D2201"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uwzględniona.</w:t>
            </w:r>
          </w:p>
          <w:p w14:paraId="4B48D85D" w14:textId="491E4393"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Przepis zostanie zmieniony.</w:t>
            </w:r>
          </w:p>
        </w:tc>
      </w:tr>
      <w:tr w:rsidR="009B768E" w:rsidRPr="00445908" w14:paraId="352076B9"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404D7A6E"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775E9E81" w14:textId="70FC9FAA"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03F3C52F" w14:textId="2913359F"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nr 1, pkt 2.10, pozycja 18 (str. 26)</w:t>
            </w:r>
          </w:p>
        </w:tc>
        <w:tc>
          <w:tcPr>
            <w:tcW w:w="3794" w:type="dxa"/>
            <w:tcBorders>
              <w:top w:val="single" w:sz="4" w:space="0" w:color="000000"/>
              <w:left w:val="single" w:sz="4" w:space="0" w:color="000000"/>
              <w:bottom w:val="single" w:sz="4" w:space="0" w:color="000000"/>
              <w:right w:val="single" w:sz="4" w:space="0" w:color="000000"/>
            </w:tcBorders>
          </w:tcPr>
          <w:p w14:paraId="39E05B8A" w14:textId="60FCD8B8"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Liczność identyfikatora wersji wskazuje na możliwość jego nie występowania [0..1], a zatem dopuszczalne jest aby w zbiorze danych przestrzennych zaistniał obiekt przestrzenny z niepełnym identyfikatorem obiektu przestrzennego zawierającym tylko przestrzeń nazw i identyfikator lokalny.</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6F249133" w14:textId="5F130161"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Identyfikator wersji powinien być obligatoryjny, jest to spójne z obowiązkiem uzupełnienia </w:t>
            </w:r>
            <w:proofErr w:type="spellStart"/>
            <w:r w:rsidRPr="00445908">
              <w:rPr>
                <w:rFonts w:asciiTheme="minorHAnsi" w:hAnsiTheme="minorHAnsi" w:cstheme="minorHAnsi"/>
                <w:sz w:val="18"/>
                <w:szCs w:val="18"/>
              </w:rPr>
              <w:t>poczatekWersjiObiektu</w:t>
            </w:r>
            <w:proofErr w:type="spellEnd"/>
            <w:r w:rsidRPr="00445908">
              <w:rPr>
                <w:rFonts w:asciiTheme="minorHAnsi" w:hAnsiTheme="minorHAnsi" w:cstheme="minorHAnsi"/>
                <w:sz w:val="18"/>
                <w:szCs w:val="18"/>
              </w:rPr>
              <w:t>, który ma liczność [1].</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7728CDB6"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68E34A16" w14:textId="7368B966"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Identyfikator wersji nie jest nadawany dla każdego typu obiektu – dokumenty formalne nie są wersjonowane.</w:t>
            </w:r>
          </w:p>
        </w:tc>
      </w:tr>
      <w:tr w:rsidR="009B768E" w:rsidRPr="00445908" w14:paraId="61E86720"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39776176"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33E2C5EF" w14:textId="05706B78"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1DD0220A" w14:textId="139D68AE"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nr 1, pkt 2.10, pozycja 19 (str. 26)</w:t>
            </w:r>
          </w:p>
        </w:tc>
        <w:tc>
          <w:tcPr>
            <w:tcW w:w="3794" w:type="dxa"/>
            <w:tcBorders>
              <w:top w:val="single" w:sz="4" w:space="0" w:color="000000"/>
              <w:left w:val="single" w:sz="4" w:space="0" w:color="000000"/>
              <w:bottom w:val="single" w:sz="4" w:space="0" w:color="000000"/>
              <w:right w:val="single" w:sz="4" w:space="0" w:color="000000"/>
            </w:tcBorders>
          </w:tcPr>
          <w:p w14:paraId="18C5A0F9" w14:textId="77777777" w:rsidR="009B768E" w:rsidRPr="00445908" w:rsidRDefault="009B768E" w:rsidP="002A5E92">
            <w:pPr>
              <w:spacing w:after="0" w:line="240" w:lineRule="auto"/>
              <w:rPr>
                <w:rFonts w:asciiTheme="minorHAnsi" w:hAnsiTheme="minorHAnsi" w:cstheme="minorHAnsi"/>
                <w:i/>
                <w:sz w:val="18"/>
                <w:szCs w:val="18"/>
              </w:rPr>
            </w:pPr>
            <w:r w:rsidRPr="00445908">
              <w:rPr>
                <w:rFonts w:asciiTheme="minorHAnsi" w:hAnsiTheme="minorHAnsi" w:cstheme="minorHAnsi"/>
                <w:sz w:val="18"/>
                <w:szCs w:val="18"/>
              </w:rPr>
              <w:t xml:space="preserve">Widnieje wpis, cyt. </w:t>
            </w:r>
            <w:r w:rsidRPr="00445908">
              <w:rPr>
                <w:rFonts w:asciiTheme="minorHAnsi" w:hAnsiTheme="minorHAnsi" w:cstheme="minorHAnsi"/>
                <w:i/>
                <w:sz w:val="18"/>
                <w:szCs w:val="18"/>
              </w:rPr>
              <w:t>„</w:t>
            </w:r>
          </w:p>
          <w:p w14:paraId="54B6A6A8" w14:textId="70BD280D"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i/>
                <w:sz w:val="18"/>
                <w:szCs w:val="18"/>
              </w:rPr>
              <w:t xml:space="preserve">§ 5 ust. 3 rozporządzenia” </w:t>
            </w:r>
            <w:r w:rsidRPr="00445908">
              <w:rPr>
                <w:rFonts w:asciiTheme="minorHAnsi" w:hAnsiTheme="minorHAnsi" w:cstheme="minorHAnsi"/>
                <w:sz w:val="18"/>
                <w:szCs w:val="18"/>
              </w:rPr>
              <w:t xml:space="preserve"> natomiast w treści projektu rozporządzenia nie ma ust. 3. Ponadto pkt 2.10 dotyczy identyfikatora obiektu przestrzennego a nie zbioru danych przestrzennych, zatem odnosić się powinien do § 6.</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7E2470BD" w14:textId="23B67263"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b/>
                <w:bCs/>
                <w:sz w:val="18"/>
                <w:szCs w:val="18"/>
              </w:rPr>
              <w:t xml:space="preserve">Błędne odwołanie dot. </w:t>
            </w:r>
            <w:proofErr w:type="spellStart"/>
            <w:r w:rsidRPr="00445908">
              <w:rPr>
                <w:rFonts w:asciiTheme="minorHAnsi" w:hAnsiTheme="minorHAnsi" w:cstheme="minorHAnsi"/>
                <w:sz w:val="18"/>
                <w:szCs w:val="18"/>
              </w:rPr>
              <w:t>wersjaId</w:t>
            </w:r>
            <w:proofErr w:type="spellEnd"/>
            <w:r w:rsidRPr="00445908">
              <w:rPr>
                <w:rFonts w:asciiTheme="minorHAnsi" w:hAnsiTheme="minorHAnsi" w:cstheme="minorHAnsi"/>
                <w:b/>
                <w:bCs/>
                <w:sz w:val="18"/>
                <w:szCs w:val="18"/>
              </w:rPr>
              <w:t>:</w:t>
            </w:r>
            <w:r w:rsidRPr="00445908">
              <w:rPr>
                <w:rFonts w:asciiTheme="minorHAnsi" w:hAnsiTheme="minorHAnsi" w:cstheme="minorHAnsi"/>
                <w:sz w:val="18"/>
                <w:szCs w:val="18"/>
              </w:rPr>
              <w:t xml:space="preserve"> Załącznik odsyła do nieistniejącego w projekcie </w:t>
            </w:r>
            <w:r w:rsidRPr="00445908">
              <w:rPr>
                <w:rFonts w:asciiTheme="minorHAnsi" w:hAnsiTheme="minorHAnsi" w:cstheme="minorHAnsi"/>
                <w:b/>
                <w:bCs/>
                <w:sz w:val="18"/>
                <w:szCs w:val="18"/>
              </w:rPr>
              <w:t>§ 5 ust. 1 pkt 3</w:t>
            </w:r>
            <w:r w:rsidRPr="00445908">
              <w:rPr>
                <w:rFonts w:asciiTheme="minorHAnsi" w:hAnsiTheme="minorHAnsi" w:cstheme="minorHAnsi"/>
                <w:sz w:val="18"/>
                <w:szCs w:val="18"/>
              </w:rPr>
              <w:t xml:space="preserve">. Zgodnie z treścią projektu, identyfikator wersji obiektu jest uregulowany w </w:t>
            </w:r>
            <w:r w:rsidRPr="00445908">
              <w:rPr>
                <w:rFonts w:asciiTheme="minorHAnsi" w:hAnsiTheme="minorHAnsi" w:cstheme="minorHAnsi"/>
                <w:b/>
                <w:bCs/>
                <w:sz w:val="18"/>
                <w:szCs w:val="18"/>
              </w:rPr>
              <w:t>§ 6 ust. 1 pkt 3.</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294EF697"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uwzględniona.</w:t>
            </w:r>
          </w:p>
          <w:p w14:paraId="57061093" w14:textId="5556C24A"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Przepis zostanie zmieniony.</w:t>
            </w:r>
          </w:p>
        </w:tc>
      </w:tr>
      <w:tr w:rsidR="009B768E" w:rsidRPr="00445908" w14:paraId="3E7677A2"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2BC91ACE"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5D16250E" w14:textId="1A52D2A8"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35986A38" w14:textId="7C687D00"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nr 2</w:t>
            </w:r>
          </w:p>
        </w:tc>
        <w:tc>
          <w:tcPr>
            <w:tcW w:w="3794" w:type="dxa"/>
            <w:tcBorders>
              <w:top w:val="single" w:sz="4" w:space="0" w:color="000000"/>
              <w:left w:val="single" w:sz="4" w:space="0" w:color="000000"/>
              <w:bottom w:val="single" w:sz="4" w:space="0" w:color="000000"/>
              <w:right w:val="single" w:sz="4" w:space="0" w:color="000000"/>
            </w:tcBorders>
          </w:tcPr>
          <w:p w14:paraId="332FC1E8" w14:textId="4F906D53"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W metadanych nie ma kodów i skróconych nazw tematów przestrzennych z którymi związany jest zbiór danych przestrzennych ( </w:t>
            </w:r>
            <w:r w:rsidRPr="00445908">
              <w:rPr>
                <w:rFonts w:asciiTheme="minorHAnsi" w:hAnsiTheme="minorHAnsi" w:cstheme="minorHAnsi"/>
                <w:i/>
                <w:sz w:val="18"/>
                <w:szCs w:val="18"/>
              </w:rPr>
              <w:t>rozporządzenie w sprawie ewidencji zbiorów danych i usług przestrzennych objętych infrastrukturą informacji przestrzennej</w:t>
            </w:r>
            <w:r w:rsidRPr="00445908">
              <w:rPr>
                <w:rFonts w:asciiTheme="minorHAnsi" w:hAnsiTheme="minorHAnsi" w:cstheme="minorHAnsi"/>
                <w:sz w:val="18"/>
                <w:szCs w:val="18"/>
              </w:rPr>
              <w:t>)</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4A2EB9C5" w14:textId="72BEDA99"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Brak wskazanych kodów i nazw tematów przestrzennych w rozporządzeniu, doprowadzi do rozbieżności w tym zakresie, podczas zgłaszania utworzonych zbiorów danych do ewidencji zbiorów danych i usług przestrzennych, którą prowadzi Główny Geodeta Kraju, a które to informacje są </w:t>
            </w:r>
            <w:r w:rsidRPr="00445908">
              <w:rPr>
                <w:rFonts w:asciiTheme="minorHAnsi" w:hAnsiTheme="minorHAnsi" w:cstheme="minorHAnsi"/>
                <w:sz w:val="18"/>
                <w:szCs w:val="18"/>
              </w:rPr>
              <w:lastRenderedPageBreak/>
              <w:t>wymagane we wniosku o ujawnienie zbioru danych przestrzennych w prowadzonej przez Głównego Geodetę Kraju Ewidencji.</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1ED50A6F"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lastRenderedPageBreak/>
              <w:t>Uwaga wyjaśniona.</w:t>
            </w:r>
          </w:p>
          <w:p w14:paraId="7D99A842" w14:textId="6DFDF8B2"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Słownik kodów i skróconych nazw tematów danych przestrzennych stanowi załącznik do wskazanego rozporządzenia i nie jest przedmiotem </w:t>
            </w:r>
            <w:r w:rsidRPr="00445908">
              <w:rPr>
                <w:rFonts w:asciiTheme="minorHAnsi" w:hAnsiTheme="minorHAnsi" w:cstheme="minorHAnsi"/>
                <w:sz w:val="18"/>
                <w:szCs w:val="18"/>
              </w:rPr>
              <w:lastRenderedPageBreak/>
              <w:t>projektowanych przepisów. Wszystkie metadane tworzone w ramach zagospodarowania przestrzennego klasyfikowane są w ramach tematu 3.4 Zagospodarowanie przestrzenne</w:t>
            </w:r>
          </w:p>
        </w:tc>
      </w:tr>
      <w:tr w:rsidR="009B768E" w:rsidRPr="00445908" w14:paraId="4AC3E9EB"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61D8473C"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4131AA47" w14:textId="16DFDBA2"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295E4BB2" w14:textId="433AC398"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nr 2, pkt 7.1, poz. 3 (str. 8)</w:t>
            </w:r>
          </w:p>
        </w:tc>
        <w:tc>
          <w:tcPr>
            <w:tcW w:w="3794" w:type="dxa"/>
            <w:tcBorders>
              <w:top w:val="single" w:sz="4" w:space="0" w:color="000000"/>
              <w:left w:val="single" w:sz="4" w:space="0" w:color="000000"/>
              <w:bottom w:val="single" w:sz="4" w:space="0" w:color="000000"/>
              <w:right w:val="single" w:sz="4" w:space="0" w:color="000000"/>
            </w:tcBorders>
          </w:tcPr>
          <w:p w14:paraId="406E6CAB"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W przytoczonych przepisach prawa widnieje cyt. </w:t>
            </w:r>
            <w:r w:rsidRPr="00445908">
              <w:rPr>
                <w:rFonts w:asciiTheme="minorHAnsi" w:hAnsiTheme="minorHAnsi" w:cstheme="minorHAnsi"/>
                <w:i/>
                <w:sz w:val="18"/>
                <w:szCs w:val="18"/>
              </w:rPr>
              <w:t>„ przepisy wydane na podstawie art. 67b ustawy z dnia 27 marca 2003 r. o planowaniu i zagospodarowaniu przestrzennym (Dz. U. z 2023 r. poz. 977, 1506, 1597, 1688, 1890 i 2029)”</w:t>
            </w:r>
            <w:r w:rsidRPr="00445908">
              <w:rPr>
                <w:rFonts w:asciiTheme="minorHAnsi" w:hAnsiTheme="minorHAnsi" w:cstheme="minorHAnsi"/>
                <w:sz w:val="18"/>
                <w:szCs w:val="18"/>
              </w:rPr>
              <w:t xml:space="preserve">. Tymczasem w preambule projektu rozporządzenia tę samą ustawę przywołuje się według tekstu jednolitego z </w:t>
            </w:r>
            <w:r w:rsidRPr="00445908">
              <w:rPr>
                <w:rFonts w:asciiTheme="minorHAnsi" w:hAnsiTheme="minorHAnsi" w:cstheme="minorHAnsi"/>
                <w:b/>
                <w:bCs/>
                <w:sz w:val="18"/>
                <w:szCs w:val="18"/>
              </w:rPr>
              <w:t>2026 r. (poz. 538).</w:t>
            </w:r>
          </w:p>
          <w:p w14:paraId="218AC6B4" w14:textId="77777777" w:rsidR="009B768E" w:rsidRPr="00445908" w:rsidRDefault="009B768E" w:rsidP="002A5E92">
            <w:pPr>
              <w:spacing w:after="0" w:line="240" w:lineRule="auto"/>
              <w:rPr>
                <w:rFonts w:asciiTheme="minorHAnsi" w:hAnsiTheme="minorHAnsi" w:cstheme="minorHAnsi"/>
                <w:sz w:val="18"/>
                <w:szCs w:val="18"/>
              </w:rPr>
            </w:pP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63F5B577" w14:textId="674BBCC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Niespójność o charakterze redakcyjnym (aktualność ustawy o planowaniu i zagospodarowaniu przestrzennym).</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5F960445"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uwzględniona</w:t>
            </w:r>
          </w:p>
          <w:p w14:paraId="643F7A68" w14:textId="192EAD13"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Zapis zostanie zmodyfikowany.</w:t>
            </w:r>
          </w:p>
        </w:tc>
      </w:tr>
      <w:tr w:rsidR="009B768E" w:rsidRPr="00445908" w14:paraId="75BD69E1"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58F1B802"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4C2D042F" w14:textId="13FF2E3A"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760668A5" w14:textId="2EB27BDC"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 3 ust. 3</w:t>
            </w:r>
          </w:p>
        </w:tc>
        <w:tc>
          <w:tcPr>
            <w:tcW w:w="3794" w:type="dxa"/>
            <w:tcBorders>
              <w:top w:val="single" w:sz="4" w:space="0" w:color="000000"/>
              <w:left w:val="single" w:sz="4" w:space="0" w:color="000000"/>
              <w:bottom w:val="single" w:sz="4" w:space="0" w:color="000000"/>
              <w:right w:val="single" w:sz="4" w:space="0" w:color="000000"/>
            </w:tcBorders>
          </w:tcPr>
          <w:p w14:paraId="6EE97F85" w14:textId="1046651E"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Należy doprecyzować katalog zdarzeń uznawanych za moment przystąpienia do sporządzania aktu poprzez wprowadzenie zamkniętego katalogu.</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0ECDFBA5" w14:textId="77A1DA3B"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Brak jednoznaczności może prowadzić do rozbieżności interpretacyjnych i problemów przy ustalaniu obowiązków JST.</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173DFB54"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0F3B92D4" w14:textId="3FDF7C97"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Przepis wprowadza katalog zamknięty, który jest spójny z zapisami ustawowymi w zakresie (między innymi) publikowania danych w Rejestrze Urbanistycznym. </w:t>
            </w:r>
          </w:p>
        </w:tc>
      </w:tr>
      <w:tr w:rsidR="009B768E" w:rsidRPr="00445908" w14:paraId="02F632ED"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7E93C7CF"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06653FC5" w14:textId="0830089F"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754C2DDF" w14:textId="7BBB73BC"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 3 ust. 2, § 7 ust. 3</w:t>
            </w:r>
          </w:p>
        </w:tc>
        <w:tc>
          <w:tcPr>
            <w:tcW w:w="3794" w:type="dxa"/>
            <w:tcBorders>
              <w:top w:val="single" w:sz="4" w:space="0" w:color="000000"/>
              <w:left w:val="single" w:sz="4" w:space="0" w:color="000000"/>
              <w:bottom w:val="single" w:sz="4" w:space="0" w:color="000000"/>
              <w:right w:val="single" w:sz="4" w:space="0" w:color="000000"/>
            </w:tcBorders>
          </w:tcPr>
          <w:p w14:paraId="0688C4E4" w14:textId="6153ED0E"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Zastąpić termin „niezwłocznie” konkretnym terminem liczonym w dniach.</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47F6227D" w14:textId="6BBA125E"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Pozostawienie pojęcia nieostrego jest sprzeczne z zasadą pewności prawa i uniemożliwia realną kontrolę wykonywania obowiązków.</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5C5F89A5"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4895F013" w14:textId="5830758D"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Przepis jest zgodny z zastosowanym w art. 67h ustawy o planowaniu i zagospodarowaniu przestrzennym. </w:t>
            </w:r>
          </w:p>
        </w:tc>
      </w:tr>
      <w:tr w:rsidR="009B768E" w:rsidRPr="00445908" w14:paraId="44161B4D"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3A0C5A15"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06E8A303" w14:textId="411FB085"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25C26A3B" w14:textId="561A90AA"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 10</w:t>
            </w:r>
          </w:p>
        </w:tc>
        <w:tc>
          <w:tcPr>
            <w:tcW w:w="3794" w:type="dxa"/>
            <w:tcBorders>
              <w:top w:val="single" w:sz="4" w:space="0" w:color="000000"/>
              <w:left w:val="single" w:sz="4" w:space="0" w:color="000000"/>
              <w:bottom w:val="single" w:sz="4" w:space="0" w:color="000000"/>
              <w:right w:val="single" w:sz="4" w:space="0" w:color="000000"/>
            </w:tcBorders>
          </w:tcPr>
          <w:p w14:paraId="2E721F7E" w14:textId="542CBFEB"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Rozważyć utrzymanie obowiązku podpisu elektronicznego lub jego częściowe zachowanie.</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6B2EF83E" w14:textId="53CB855E"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Możliwe wątpliwości co do autentyczności i integralności danych.</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41C84FAC"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wyjaśniona.</w:t>
            </w:r>
          </w:p>
          <w:p w14:paraId="03F649B4" w14:textId="3CA5623C"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Dane gromadzone będą w Rejestrze Urbanistycznym, nie ma potrzeby zachowania podpisów. </w:t>
            </w:r>
          </w:p>
        </w:tc>
      </w:tr>
      <w:tr w:rsidR="009B768E" w:rsidRPr="00445908" w14:paraId="7656DAEA"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1F223F67"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7FE71181" w14:textId="294BF5EA"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5E977FD1" w14:textId="2FB66F17"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 4, § 8</w:t>
            </w:r>
          </w:p>
        </w:tc>
        <w:tc>
          <w:tcPr>
            <w:tcW w:w="3794" w:type="dxa"/>
            <w:tcBorders>
              <w:top w:val="single" w:sz="4" w:space="0" w:color="000000"/>
              <w:left w:val="single" w:sz="4" w:space="0" w:color="000000"/>
              <w:bottom w:val="single" w:sz="4" w:space="0" w:color="000000"/>
              <w:right w:val="single" w:sz="4" w:space="0" w:color="000000"/>
            </w:tcBorders>
          </w:tcPr>
          <w:p w14:paraId="750F5BCD" w14:textId="04D0904A"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Wprowadzić mechanizmy wsparcia dla JST (narzędzia lub uproszczenia).</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6941B05F" w14:textId="503C0C92"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Wysokie wymagania techniczne mogą utrudniać wdrożenie.</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2ABB24E4"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wyjaśniona.</w:t>
            </w:r>
          </w:p>
          <w:p w14:paraId="68830F39"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Tworzenie danych zgodnych rozporządzeniem możliwe będzie z wykorzystaniem Wtyczki APP2 do bezpłatnego oprogramowania QGIS. Dostępna jest również Przeglądarka danych planistycznych. Dane będą dodawane do Rejestru Urbanistycznego. </w:t>
            </w:r>
          </w:p>
          <w:p w14:paraId="181811BE" w14:textId="06EBFA18"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Brak propozycji kolejnych narzędzi lub uproszczeń.</w:t>
            </w:r>
          </w:p>
        </w:tc>
      </w:tr>
      <w:tr w:rsidR="009B768E" w:rsidRPr="00445908" w14:paraId="1E6531F2"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79141503"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12770D1A" w14:textId="603DDEE3" w:rsidR="009B768E" w:rsidRPr="00445908" w:rsidRDefault="009B768E" w:rsidP="002A5E92">
            <w:pPr>
              <w:spacing w:after="0" w:line="240" w:lineRule="auto"/>
              <w:rPr>
                <w:rFonts w:asciiTheme="minorHAnsi" w:hAnsiTheme="minorHAnsi" w:cstheme="minorHAnsi"/>
                <w:bCs/>
                <w:sz w:val="18"/>
                <w:szCs w:val="18"/>
              </w:rPr>
            </w:pPr>
            <w:r w:rsidRPr="00445908">
              <w:rPr>
                <w:rFonts w:asciiTheme="minorHAnsi" w:hAnsiTheme="minorHAnsi" w:cstheme="minorHAnsi"/>
                <w:sz w:val="18"/>
                <w:szCs w:val="18"/>
              </w:rPr>
              <w:t xml:space="preserve">Urząd Marszałkowski Województwa </w:t>
            </w:r>
            <w:r w:rsidRPr="00445908">
              <w:rPr>
                <w:rFonts w:asciiTheme="minorHAnsi" w:hAnsiTheme="minorHAnsi" w:cstheme="minorHAnsi"/>
                <w:sz w:val="18"/>
                <w:szCs w:val="18"/>
              </w:rPr>
              <w:lastRenderedPageBreak/>
              <w:t xml:space="preserve">Zachodniopomorskiego </w:t>
            </w:r>
          </w:p>
        </w:tc>
        <w:tc>
          <w:tcPr>
            <w:tcW w:w="1560" w:type="dxa"/>
            <w:tcBorders>
              <w:top w:val="single" w:sz="4" w:space="0" w:color="000000"/>
              <w:left w:val="single" w:sz="4" w:space="0" w:color="000000"/>
              <w:bottom w:val="single" w:sz="4" w:space="0" w:color="000000"/>
              <w:right w:val="single" w:sz="4" w:space="0" w:color="000000"/>
            </w:tcBorders>
          </w:tcPr>
          <w:p w14:paraId="7C3E5F68" w14:textId="25E60BEA"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lastRenderedPageBreak/>
              <w:t>§ 7 ust. 4–5</w:t>
            </w:r>
          </w:p>
        </w:tc>
        <w:tc>
          <w:tcPr>
            <w:tcW w:w="3794" w:type="dxa"/>
            <w:tcBorders>
              <w:top w:val="single" w:sz="4" w:space="0" w:color="000000"/>
              <w:left w:val="single" w:sz="4" w:space="0" w:color="000000"/>
              <w:bottom w:val="single" w:sz="4" w:space="0" w:color="000000"/>
              <w:right w:val="single" w:sz="4" w:space="0" w:color="000000"/>
            </w:tcBorders>
          </w:tcPr>
          <w:p w14:paraId="7FDF0520" w14:textId="0563D565"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Doprecyzować tryb przekazywania danych między JST.</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29D48FA4" w14:textId="61FE3ECF"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Brak regulacji szczegółowych może powodować spory.</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71BC7119"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Uwaga nieuwzględniona </w:t>
            </w:r>
          </w:p>
          <w:p w14:paraId="5A975986" w14:textId="654BCD7B"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lastRenderedPageBreak/>
              <w:t>Regulacja była pierwotnie w art. 67c ustawy o planowaniu i zagospodarowaniu przestrzennym i nie budziła wątpliwości interpretacyjnych.</w:t>
            </w:r>
          </w:p>
        </w:tc>
      </w:tr>
      <w:tr w:rsidR="009B768E" w:rsidRPr="00445908" w14:paraId="70A7E0E0"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26631815"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429FB06D" w14:textId="51A31DF4"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0340146D" w14:textId="2816DC33"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 4 ust. 2</w:t>
            </w:r>
          </w:p>
        </w:tc>
        <w:tc>
          <w:tcPr>
            <w:tcW w:w="3794" w:type="dxa"/>
            <w:tcBorders>
              <w:top w:val="single" w:sz="4" w:space="0" w:color="000000"/>
              <w:left w:val="single" w:sz="4" w:space="0" w:color="000000"/>
              <w:bottom w:val="single" w:sz="4" w:space="0" w:color="000000"/>
              <w:right w:val="single" w:sz="4" w:space="0" w:color="000000"/>
            </w:tcBorders>
          </w:tcPr>
          <w:p w14:paraId="4C5C505F" w14:textId="100A5551"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Uregulować zasady aktualizacji schematów danych.</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0C841DE4" w14:textId="7777AE28"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Brak zasad utrudni dostosowanie systemów.</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45613B67"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437B61FC" w14:textId="3E30B676"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Schemat danych podlega aktualizacji wyłącznie w momencie przyjęcia zmiany rozporządzenia. </w:t>
            </w:r>
          </w:p>
        </w:tc>
      </w:tr>
      <w:tr w:rsidR="009B768E" w:rsidRPr="00445908" w14:paraId="3FFC614D"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736AF1E0"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68CE0BFE" w14:textId="7A5506D6"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43AF0596" w14:textId="6DD490C0"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Całość projektu</w:t>
            </w:r>
          </w:p>
        </w:tc>
        <w:tc>
          <w:tcPr>
            <w:tcW w:w="3794" w:type="dxa"/>
            <w:tcBorders>
              <w:top w:val="single" w:sz="4" w:space="0" w:color="000000"/>
              <w:left w:val="single" w:sz="4" w:space="0" w:color="000000"/>
              <w:bottom w:val="single" w:sz="4" w:space="0" w:color="000000"/>
              <w:right w:val="single" w:sz="4" w:space="0" w:color="000000"/>
            </w:tcBorders>
          </w:tcPr>
          <w:p w14:paraId="2C761E11" w14:textId="0EC20552"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Uzupełnić przepisy o wymogi interoperacyjności z systemami krajowymi.</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4A6C2C18" w14:textId="4452E019"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Brak spójności z krajowymi rejestrami znacząco ograniczy efektywność projektowanych rozwiązań.</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3A6BF999"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32E47E38" w14:textId="5B53263E"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Brak uzasadnienia dla wprowadzenia propozycji zmiany. Rozporządzenie jest zgodne z Krajowymi Ramami Interoperacyjności.</w:t>
            </w:r>
            <w:r w:rsidRPr="00445908">
              <w:rPr>
                <w:rFonts w:asciiTheme="minorHAnsi" w:hAnsiTheme="minorHAnsi" w:cstheme="minorHAnsi"/>
                <w:b/>
                <w:bCs/>
                <w:sz w:val="18"/>
                <w:szCs w:val="18"/>
              </w:rPr>
              <w:t xml:space="preserve"> </w:t>
            </w:r>
          </w:p>
        </w:tc>
      </w:tr>
      <w:tr w:rsidR="009B768E" w:rsidRPr="00445908" w14:paraId="174108CD"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502D96C6"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7FFE0590" w14:textId="74C215A0"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4F286B22" w14:textId="1FEEF330"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Uzasadnienie</w:t>
            </w:r>
          </w:p>
        </w:tc>
        <w:tc>
          <w:tcPr>
            <w:tcW w:w="3794" w:type="dxa"/>
            <w:tcBorders>
              <w:top w:val="single" w:sz="4" w:space="0" w:color="000000"/>
              <w:left w:val="single" w:sz="4" w:space="0" w:color="000000"/>
              <w:bottom w:val="single" w:sz="4" w:space="0" w:color="000000"/>
              <w:right w:val="single" w:sz="4" w:space="0" w:color="000000"/>
            </w:tcBorders>
          </w:tcPr>
          <w:p w14:paraId="5CA2E113" w14:textId="2CF44A09"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Uzupełnić o analizę kosztów wdrożenia dla JST.</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6FA17B0E" w14:textId="32C90DB1"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Obecne uzasadnienie pomija skutki finansowe dla JST, co stanowi istotną lukę w ocenie skutków regulacji.</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661F11A5"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20FAAA2B" w14:textId="50F4D8AF"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Obecne brzemiennie rozporządzenia nie wprowadza zasadniczych zmian w sposobie tworzenia danych. Bezpłatne narzędzia (Wtyczka APP2) zostaną dostosowane do zmienionego rozporządzenia (np. w zakresie dodania dwóch nowych zbiorów danych).</w:t>
            </w:r>
          </w:p>
        </w:tc>
      </w:tr>
      <w:tr w:rsidR="009B768E" w:rsidRPr="00445908" w14:paraId="56C7B732"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34FB6D6D"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2CA1B6FB" w14:textId="16DDC7F3"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52F5807E" w14:textId="5C298112"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nr 1</w:t>
            </w:r>
          </w:p>
        </w:tc>
        <w:tc>
          <w:tcPr>
            <w:tcW w:w="3794" w:type="dxa"/>
            <w:tcBorders>
              <w:top w:val="single" w:sz="4" w:space="0" w:color="000000"/>
              <w:left w:val="single" w:sz="4" w:space="0" w:color="000000"/>
              <w:bottom w:val="single" w:sz="4" w:space="0" w:color="000000"/>
              <w:right w:val="single" w:sz="4" w:space="0" w:color="000000"/>
            </w:tcBorders>
          </w:tcPr>
          <w:p w14:paraId="2F4F3C4A" w14:textId="3F49850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Wprowadzenie obowiązku wersjonowania danych wymaga zapewnienia rozwiązań systemowych oraz doprecyzowania zasad prowadzenia historii danych.</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0DC8A68C" w14:textId="02813031"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Obowiązkowe wersjonowanie danych przestrzennych oznacza konieczność wdrożenia zaawansowanych systemów IT, co stanowi istotne obciążenie dla JST.</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312288B1"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65A9FD28" w14:textId="14E2AD52"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Projekt rozporządzenia nie wprowadza zmian w tym zakresie w odniesieniu do aktualnie obowiązujących przepisów. </w:t>
            </w:r>
          </w:p>
        </w:tc>
      </w:tr>
      <w:tr w:rsidR="009B768E" w:rsidRPr="00445908" w14:paraId="66263F40"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46CBCB83"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134B2BF9" w14:textId="72A00026"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45E29898" w14:textId="571FE40D" w:rsidR="009B768E" w:rsidRPr="00445908" w:rsidRDefault="009B768E" w:rsidP="002A5E92">
            <w:pPr>
              <w:spacing w:after="0" w:line="240" w:lineRule="auto"/>
              <w:jc w:val="center"/>
              <w:rPr>
                <w:rFonts w:asciiTheme="minorHAnsi" w:hAnsiTheme="minorHAnsi" w:cstheme="minorHAnsi"/>
                <w:iCs/>
                <w:sz w:val="18"/>
                <w:szCs w:val="18"/>
              </w:rPr>
            </w:pPr>
            <w:r w:rsidRPr="00445908">
              <w:rPr>
                <w:rFonts w:asciiTheme="minorHAnsi" w:hAnsiTheme="minorHAnsi" w:cstheme="minorHAnsi"/>
                <w:sz w:val="18"/>
                <w:szCs w:val="18"/>
              </w:rPr>
              <w:t>Załącznik nr 1</w:t>
            </w:r>
          </w:p>
        </w:tc>
        <w:tc>
          <w:tcPr>
            <w:tcW w:w="3794" w:type="dxa"/>
            <w:tcBorders>
              <w:top w:val="single" w:sz="4" w:space="0" w:color="000000"/>
              <w:left w:val="single" w:sz="4" w:space="0" w:color="000000"/>
              <w:bottom w:val="single" w:sz="4" w:space="0" w:color="000000"/>
              <w:right w:val="single" w:sz="4" w:space="0" w:color="000000"/>
            </w:tcBorders>
          </w:tcPr>
          <w:p w14:paraId="2104CE58" w14:textId="7D7CA893"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Zapewnić centralny lub referencyjny mechanizm walidacji danych zgodnych z regułami zawartymi w załączniku.</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506CD89D" w14:textId="325C1826"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Załącznik wprowadza złożone reguły walidacyjne, których implementacja po stronie JST jest trudna i może prowadzić do niespójności danych.</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12173051"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wyjaśniona</w:t>
            </w:r>
          </w:p>
          <w:p w14:paraId="7ABEE648" w14:textId="1EA543FB"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Poza delegacją ustawową. Brak uzasadnienia dla wprowadzenia propozycji zmiany. Dane będą gromadzone w Rejestrze Urbanistycznym i tam będzie zapewniona walidacja. </w:t>
            </w:r>
          </w:p>
        </w:tc>
      </w:tr>
      <w:tr w:rsidR="009B768E" w:rsidRPr="00445908" w14:paraId="430B009C"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64556C24"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3C227E84" w14:textId="55543A60"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Województwa Zachodniopomorskiego </w:t>
            </w:r>
          </w:p>
        </w:tc>
        <w:tc>
          <w:tcPr>
            <w:tcW w:w="1560" w:type="dxa"/>
            <w:tcBorders>
              <w:top w:val="single" w:sz="4" w:space="0" w:color="000000"/>
              <w:left w:val="single" w:sz="4" w:space="0" w:color="000000"/>
              <w:bottom w:val="single" w:sz="4" w:space="0" w:color="000000"/>
              <w:right w:val="single" w:sz="4" w:space="0" w:color="000000"/>
            </w:tcBorders>
          </w:tcPr>
          <w:p w14:paraId="125C54D7" w14:textId="452DC2A2"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nr 1 i 2</w:t>
            </w:r>
          </w:p>
        </w:tc>
        <w:tc>
          <w:tcPr>
            <w:tcW w:w="3794" w:type="dxa"/>
            <w:tcBorders>
              <w:top w:val="single" w:sz="4" w:space="0" w:color="000000"/>
              <w:left w:val="single" w:sz="4" w:space="0" w:color="000000"/>
              <w:bottom w:val="single" w:sz="4" w:space="0" w:color="000000"/>
              <w:right w:val="single" w:sz="4" w:space="0" w:color="000000"/>
            </w:tcBorders>
          </w:tcPr>
          <w:p w14:paraId="7B2F6922" w14:textId="0790A183"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Wprowadzić obowiązek zapewnienia narzędzi referencyjnych oraz szczegółowej dokumentacji wdrożeniowej dla JST.</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64E143EC" w14:textId="5290DE34"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Zakres danych, metadanych, relacji oraz wymagań technicznych znacząco przekracza standardowe możliwości JST bez wsparcia centralnego.</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1AA952E6"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wyjaśniona</w:t>
            </w:r>
          </w:p>
          <w:p w14:paraId="30F79744" w14:textId="6CDE0B82"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Poza delegacją ustawową. Brak uzasadnienia dla wprowadzenia propozycji zmiany. Ministerstwo prowadzi różnorodne formy wsparcia, wtyczki do bezpłatnego oprogramowania </w:t>
            </w:r>
            <w:proofErr w:type="spellStart"/>
            <w:r w:rsidRPr="00445908">
              <w:rPr>
                <w:rFonts w:asciiTheme="minorHAnsi" w:hAnsiTheme="minorHAnsi" w:cstheme="minorHAnsi"/>
                <w:sz w:val="18"/>
                <w:szCs w:val="18"/>
              </w:rPr>
              <w:t>Qgis</w:t>
            </w:r>
            <w:proofErr w:type="spellEnd"/>
            <w:r w:rsidRPr="00445908">
              <w:rPr>
                <w:rFonts w:asciiTheme="minorHAnsi" w:hAnsiTheme="minorHAnsi" w:cstheme="minorHAnsi"/>
                <w:sz w:val="18"/>
                <w:szCs w:val="18"/>
              </w:rPr>
              <w:t xml:space="preserve">, Rejestr </w:t>
            </w:r>
            <w:r w:rsidRPr="00445908">
              <w:rPr>
                <w:rFonts w:asciiTheme="minorHAnsi" w:hAnsiTheme="minorHAnsi" w:cstheme="minorHAnsi"/>
                <w:sz w:val="18"/>
                <w:szCs w:val="18"/>
              </w:rPr>
              <w:lastRenderedPageBreak/>
              <w:t>Urbanistyczny, Przeglądarkę danych planistycznych, rozbudowane instrukcje, filmy instruktażowe, szkolenia i spotkania stacjonarne i on-line.</w:t>
            </w:r>
          </w:p>
        </w:tc>
      </w:tr>
      <w:tr w:rsidR="009B768E" w:rsidRPr="00445908" w14:paraId="6E0EA2D7"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182333FF"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198E7084" w14:textId="4E5A7FBD"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Mazowieckiego  </w:t>
            </w:r>
          </w:p>
        </w:tc>
        <w:tc>
          <w:tcPr>
            <w:tcW w:w="1560" w:type="dxa"/>
            <w:tcBorders>
              <w:top w:val="single" w:sz="4" w:space="0" w:color="000000"/>
              <w:left w:val="single" w:sz="4" w:space="0" w:color="000000"/>
              <w:bottom w:val="single" w:sz="4" w:space="0" w:color="000000"/>
              <w:right w:val="single" w:sz="4" w:space="0" w:color="000000"/>
            </w:tcBorders>
          </w:tcPr>
          <w:p w14:paraId="00E365AF"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3. ust.1. pkt 1 lit. a) </w:t>
            </w:r>
          </w:p>
          <w:p w14:paraId="087F383F" w14:textId="14B4EDEB" w:rsidR="009B768E" w:rsidRPr="00445908" w:rsidRDefault="009B768E" w:rsidP="002A5E92">
            <w:pPr>
              <w:spacing w:after="0" w:line="240" w:lineRule="auto"/>
              <w:rPr>
                <w:rFonts w:asciiTheme="minorHAnsi" w:hAnsiTheme="minorHAnsi" w:cstheme="minorHAnsi"/>
                <w:iCs/>
                <w:sz w:val="18"/>
                <w:szCs w:val="18"/>
              </w:rPr>
            </w:pPr>
          </w:p>
        </w:tc>
        <w:tc>
          <w:tcPr>
            <w:tcW w:w="3794" w:type="dxa"/>
            <w:tcBorders>
              <w:top w:val="single" w:sz="4" w:space="0" w:color="000000"/>
              <w:left w:val="single" w:sz="4" w:space="0" w:color="000000"/>
              <w:bottom w:val="single" w:sz="4" w:space="0" w:color="000000"/>
              <w:right w:val="single" w:sz="4" w:space="0" w:color="000000"/>
            </w:tcBorders>
          </w:tcPr>
          <w:p w14:paraId="139D7685" w14:textId="2EC08CE5"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Wątpliwości budzi zastosowanie oznaczenia „PZPW”, które odnosi się bezpośrednio do planu zagospodarowania przestrzennego województwa. </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2BE9E803"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Mając na uwadze postępujący proces integracji polityki rozwoju i planowania przestrzennego oraz możliwy przyszły kierunek zmian legislacyjnych zmierzających do wprowadzenia zintegrowanej strategii rozwoju województwa, zasadne wydaje się zastosowanie bardziej uniwersalnego i neutralnego oznaczenia, niezwiązanego wyłącznie z obecnym modelem dokumentu planistycznego.</w:t>
            </w:r>
          </w:p>
          <w:p w14:paraId="1AD8978C" w14:textId="4776909F"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Pozwoli to uniknąć konieczności przyszłej zmiany kodów i dostosowywania systemów danych przestrzennych w przypadku reformy systemu planowania regionalnego.</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2A96F792"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Uwaga nieuwzględniona </w:t>
            </w:r>
          </w:p>
          <w:p w14:paraId="023A976D" w14:textId="7CA46910"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Oznaczenie zbioru odnosi się do aktualnego stanu prawnego i dotyczy konkretnych typów aktów planowania przestrzennego. W przypadku ewentualnych zmian konieczna będzie modyfikacja zbiorów, podobnie jak to miało miejsce w przypadku usunięcia studium uwarunkowań i kierunków zagospodarowania przestrzennego oraz dodania planów ogólnych gmin. </w:t>
            </w:r>
          </w:p>
        </w:tc>
      </w:tr>
      <w:tr w:rsidR="009B768E" w:rsidRPr="00445908" w14:paraId="6319BA3E"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428A1767"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46B0A9A7" w14:textId="4A5F8086"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Mazowieckiego  </w:t>
            </w:r>
          </w:p>
        </w:tc>
        <w:tc>
          <w:tcPr>
            <w:tcW w:w="1560" w:type="dxa"/>
            <w:tcBorders>
              <w:top w:val="single" w:sz="4" w:space="0" w:color="000000"/>
              <w:left w:val="single" w:sz="4" w:space="0" w:color="000000"/>
              <w:bottom w:val="single" w:sz="4" w:space="0" w:color="000000"/>
              <w:right w:val="single" w:sz="4" w:space="0" w:color="000000"/>
            </w:tcBorders>
          </w:tcPr>
          <w:p w14:paraId="02694057" w14:textId="4CD27C4E"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 4 ust. 3</w:t>
            </w:r>
          </w:p>
        </w:tc>
        <w:tc>
          <w:tcPr>
            <w:tcW w:w="3794" w:type="dxa"/>
            <w:tcBorders>
              <w:top w:val="single" w:sz="4" w:space="0" w:color="000000"/>
              <w:left w:val="single" w:sz="4" w:space="0" w:color="000000"/>
              <w:bottom w:val="single" w:sz="4" w:space="0" w:color="000000"/>
              <w:right w:val="single" w:sz="4" w:space="0" w:color="000000"/>
            </w:tcBorders>
          </w:tcPr>
          <w:p w14:paraId="41F79E31"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Propozycja przepisu:</w:t>
            </w:r>
          </w:p>
          <w:p w14:paraId="537CA02E" w14:textId="77777777" w:rsidR="009B768E" w:rsidRPr="00445908" w:rsidRDefault="009B768E" w:rsidP="002A5E92">
            <w:pPr>
              <w:spacing w:after="0" w:line="240" w:lineRule="auto"/>
              <w:rPr>
                <w:rFonts w:asciiTheme="minorHAnsi" w:hAnsiTheme="minorHAnsi" w:cstheme="minorHAnsi"/>
                <w:i/>
                <w:sz w:val="18"/>
                <w:szCs w:val="18"/>
              </w:rPr>
            </w:pPr>
            <w:r w:rsidRPr="00445908">
              <w:rPr>
                <w:rFonts w:asciiTheme="minorHAnsi" w:hAnsiTheme="minorHAnsi" w:cstheme="minorHAnsi"/>
                <w:sz w:val="18"/>
                <w:szCs w:val="18"/>
              </w:rPr>
              <w:t>„</w:t>
            </w:r>
            <w:r w:rsidRPr="00445908">
              <w:rPr>
                <w:rFonts w:asciiTheme="minorHAnsi" w:hAnsiTheme="minorHAnsi" w:cstheme="minorHAnsi"/>
                <w:i/>
                <w:sz w:val="18"/>
                <w:szCs w:val="18"/>
              </w:rPr>
              <w:t>Lokalizację przestrzenną obiektów przestrzennych zawartych w zbiorach danych przestrzennych określa się w obowiązującym państwowym systemie odniesień przestrzennych, stosując:</w:t>
            </w:r>
          </w:p>
          <w:p w14:paraId="6F19F181" w14:textId="77777777" w:rsidR="009B768E" w:rsidRPr="00445908" w:rsidRDefault="009B768E" w:rsidP="002A5E92">
            <w:pPr>
              <w:spacing w:after="0" w:line="240" w:lineRule="auto"/>
              <w:rPr>
                <w:rFonts w:asciiTheme="minorHAnsi" w:hAnsiTheme="minorHAnsi" w:cstheme="minorHAnsi"/>
                <w:i/>
                <w:sz w:val="18"/>
                <w:szCs w:val="18"/>
              </w:rPr>
            </w:pPr>
            <w:r w:rsidRPr="00445908">
              <w:rPr>
                <w:rFonts w:asciiTheme="minorHAnsi" w:hAnsiTheme="minorHAnsi" w:cstheme="minorHAnsi"/>
                <w:i/>
                <w:sz w:val="18"/>
                <w:szCs w:val="18"/>
              </w:rPr>
              <w:t>1) układ PL – 2000 dla zbiorów danych przestrzennych oznaczonych kodami POG, UK</w:t>
            </w:r>
            <w:r w:rsidRPr="00445908">
              <w:rPr>
                <w:rFonts w:asciiTheme="minorHAnsi" w:hAnsiTheme="minorHAnsi" w:cstheme="minorHAnsi"/>
                <w:b/>
                <w:i/>
                <w:sz w:val="18"/>
                <w:szCs w:val="18"/>
              </w:rPr>
              <w:t xml:space="preserve"> lub MPZP</w:t>
            </w:r>
            <w:r w:rsidRPr="00445908">
              <w:rPr>
                <w:rFonts w:asciiTheme="minorHAnsi" w:hAnsiTheme="minorHAnsi" w:cstheme="minorHAnsi"/>
                <w:i/>
                <w:sz w:val="18"/>
                <w:szCs w:val="18"/>
              </w:rPr>
              <w:t xml:space="preserve">; </w:t>
            </w:r>
          </w:p>
          <w:p w14:paraId="1AD606D3" w14:textId="5152D82D"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i/>
                <w:sz w:val="18"/>
                <w:szCs w:val="18"/>
              </w:rPr>
              <w:t xml:space="preserve">2) układ PL – 1992 </w:t>
            </w:r>
            <w:r w:rsidRPr="00445908">
              <w:rPr>
                <w:rFonts w:asciiTheme="minorHAnsi" w:hAnsiTheme="minorHAnsi" w:cstheme="minorHAnsi"/>
                <w:b/>
                <w:i/>
                <w:sz w:val="18"/>
                <w:szCs w:val="18"/>
              </w:rPr>
              <w:t>dla zbiorów danych przestrzennych oznaczonych kodami PZPW lub AK</w:t>
            </w:r>
            <w:r w:rsidRPr="00445908">
              <w:rPr>
                <w:rFonts w:asciiTheme="minorHAnsi" w:hAnsiTheme="minorHAnsi" w:cstheme="minorHAnsi"/>
                <w:sz w:val="18"/>
                <w:szCs w:val="18"/>
              </w:rPr>
              <w:t>”.</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723C08FE"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Akty planowania przestrzennego oznaczone w </w:t>
            </w:r>
            <w:r w:rsidRPr="00445908">
              <w:rPr>
                <w:rFonts w:asciiTheme="minorHAnsi" w:hAnsiTheme="minorHAnsi" w:cstheme="minorHAnsi"/>
                <w:bCs/>
                <w:sz w:val="18"/>
                <w:szCs w:val="18"/>
              </w:rPr>
              <w:t>§ 3 ust. 1 projektu rozporządzenia kodem „MPZP” opracowywane są w skalach większych niż 1:10000.</w:t>
            </w:r>
            <w:r w:rsidRPr="00445908">
              <w:rPr>
                <w:rFonts w:asciiTheme="minorHAnsi" w:hAnsiTheme="minorHAnsi" w:cstheme="minorHAnsi"/>
                <w:sz w:val="18"/>
                <w:szCs w:val="18"/>
              </w:rPr>
              <w:t xml:space="preserve"> Zgodnie z art. 16 ustawy o planowaniu i zagospodarowaniu przestrzennym, plan miejscowy sporządza się w skali 1:1000. W szczególnie uzasadnionych przypadkach dopuszcza się stosowanie map w skali 1:500, 1:2000, 1:5000. </w:t>
            </w:r>
          </w:p>
          <w:p w14:paraId="0431DF87"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Pozostałe typy aktów planowania przestrzennego wskazane w  </w:t>
            </w:r>
            <w:r w:rsidRPr="00445908">
              <w:rPr>
                <w:rFonts w:asciiTheme="minorHAnsi" w:hAnsiTheme="minorHAnsi" w:cstheme="minorHAnsi"/>
                <w:bCs/>
                <w:sz w:val="18"/>
                <w:szCs w:val="18"/>
              </w:rPr>
              <w:t xml:space="preserve">§ 3 ust. 1 projektu rozporządzenia tj.: plan zagospodarowania przestrzennego (oznaczony kodem PZPWM) oraz audyt krajobrazowy (oznaczony kodem AK) </w:t>
            </w:r>
            <w:r w:rsidRPr="00445908">
              <w:rPr>
                <w:rFonts w:asciiTheme="minorHAnsi" w:hAnsiTheme="minorHAnsi" w:cstheme="minorHAnsi"/>
                <w:sz w:val="18"/>
                <w:szCs w:val="18"/>
              </w:rPr>
              <w:t xml:space="preserve">sporządza się na poziomie województwa w skali mniejszej niż 1:10000. </w:t>
            </w:r>
          </w:p>
          <w:p w14:paraId="1FD08F7E" w14:textId="0858FD36"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ma na celu uproszczenie i ujednolicenie przepisu.</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58F6B8D0"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1F1DA027" w14:textId="0C1CE63F"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 xml:space="preserve">Brzmienie przepisu odzwierciedla przypadki planów miejscowych, które nadal obowiązują, ale opracowywane były w różnych skalach. </w:t>
            </w:r>
          </w:p>
        </w:tc>
      </w:tr>
      <w:tr w:rsidR="009B768E" w:rsidRPr="00445908" w14:paraId="3E75FC57"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6D0AD588"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53AEA9A8" w14:textId="4BB9BAD4"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Mazowieckiego  </w:t>
            </w:r>
          </w:p>
        </w:tc>
        <w:tc>
          <w:tcPr>
            <w:tcW w:w="1560" w:type="dxa"/>
            <w:tcBorders>
              <w:top w:val="single" w:sz="4" w:space="0" w:color="000000"/>
              <w:left w:val="single" w:sz="4" w:space="0" w:color="000000"/>
              <w:bottom w:val="single" w:sz="4" w:space="0" w:color="000000"/>
              <w:right w:val="single" w:sz="4" w:space="0" w:color="000000"/>
            </w:tcBorders>
          </w:tcPr>
          <w:p w14:paraId="6EAF778E" w14:textId="2F413CD8"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color w:val="000000"/>
                <w:sz w:val="18"/>
                <w:szCs w:val="18"/>
              </w:rPr>
              <w:t>§ 7 ust. 3</w:t>
            </w:r>
          </w:p>
        </w:tc>
        <w:tc>
          <w:tcPr>
            <w:tcW w:w="3794" w:type="dxa"/>
            <w:tcBorders>
              <w:top w:val="single" w:sz="4" w:space="0" w:color="000000"/>
              <w:left w:val="single" w:sz="4" w:space="0" w:color="000000"/>
              <w:bottom w:val="single" w:sz="4" w:space="0" w:color="000000"/>
              <w:right w:val="single" w:sz="4" w:space="0" w:color="000000"/>
            </w:tcBorders>
          </w:tcPr>
          <w:p w14:paraId="5C8A8782" w14:textId="74C7FE89"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color w:val="000000"/>
                <w:sz w:val="18"/>
                <w:szCs w:val="18"/>
              </w:rPr>
              <w:t xml:space="preserve">Proponuje się doprecyzowanie terminu aktualizacji zbioru danych przestrzennych np. poprzez wskazanie maksymalnego terminu (np. 7 albo 14 dni) na udostępnienie danych po ich utworzeniu lub aktualizacji.  Użyte sformułowanie </w:t>
            </w:r>
            <w:r w:rsidRPr="00445908">
              <w:rPr>
                <w:rFonts w:asciiTheme="minorHAnsi" w:hAnsiTheme="minorHAnsi" w:cstheme="minorHAnsi"/>
                <w:i/>
                <w:iCs/>
                <w:color w:val="000000"/>
                <w:sz w:val="18"/>
                <w:szCs w:val="18"/>
              </w:rPr>
              <w:t>„zbiór danych przestrzennych podlega niezwłocznej aktualizacji”</w:t>
            </w:r>
            <w:r w:rsidRPr="00445908">
              <w:rPr>
                <w:rFonts w:asciiTheme="minorHAnsi" w:hAnsiTheme="minorHAnsi" w:cstheme="minorHAnsi"/>
                <w:color w:val="000000"/>
                <w:sz w:val="18"/>
                <w:szCs w:val="18"/>
              </w:rPr>
              <w:t xml:space="preserve"> ma charakter ogólny i może prowadzić do rozbieżności interpretacyjnych na etapie stosowania przepisów. </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497D690F" w14:textId="377CC654"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color w:val="000000"/>
                <w:sz w:val="18"/>
                <w:szCs w:val="18"/>
              </w:rPr>
              <w:t xml:space="preserve">Doprecyzowanie przedmiotowej regulacji może przyczynić się do zapewnienia jednolitej praktyki w zakresie terminów aktualizacji zbiorów danych przestrzennych oraz ograniczenia rozbieżności interpretacyjnych przy stosowaniu przepisów. Jednoznaczne określenie maksymalnego terminu aktualizacji sprzyjać będzie zachowaniu aktualności i użyteczności danych przestrzennych, a także zwiększy pewność prawa z punktu widzenia podmiotów zobowiązanych do realizacji tego obowiązku. </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48D16865"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6B342E54" w14:textId="249EC967"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Celem rozwiązań obejmujących szeroko rozumianą cyfryzację planowania i zagospodarowania przestrzennego jest zapewnienie dostępu do wiarygodnych i aktualnych danych. W podobny sposób formułowany jest przepis art. 67h ustawy o planowaniu i zagospodarowaniu przestrzennym.</w:t>
            </w:r>
          </w:p>
        </w:tc>
      </w:tr>
      <w:tr w:rsidR="009B768E" w:rsidRPr="00445908" w14:paraId="56069B6A"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4F5E67BA"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73BE2767" w14:textId="7AA13EAB"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Mazowieckiego  </w:t>
            </w:r>
          </w:p>
        </w:tc>
        <w:tc>
          <w:tcPr>
            <w:tcW w:w="1560" w:type="dxa"/>
            <w:tcBorders>
              <w:top w:val="single" w:sz="4" w:space="0" w:color="000000"/>
              <w:left w:val="single" w:sz="4" w:space="0" w:color="000000"/>
              <w:bottom w:val="single" w:sz="4" w:space="0" w:color="000000"/>
              <w:right w:val="single" w:sz="4" w:space="0" w:color="000000"/>
            </w:tcBorders>
          </w:tcPr>
          <w:p w14:paraId="60FA9CA4" w14:textId="16EE268D"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 10</w:t>
            </w:r>
          </w:p>
        </w:tc>
        <w:tc>
          <w:tcPr>
            <w:tcW w:w="3794" w:type="dxa"/>
            <w:tcBorders>
              <w:top w:val="single" w:sz="4" w:space="0" w:color="000000"/>
              <w:left w:val="single" w:sz="4" w:space="0" w:color="000000"/>
              <w:bottom w:val="single" w:sz="4" w:space="0" w:color="000000"/>
              <w:right w:val="single" w:sz="4" w:space="0" w:color="000000"/>
            </w:tcBorders>
          </w:tcPr>
          <w:p w14:paraId="4949AF96"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Propozycja przepisu:</w:t>
            </w:r>
          </w:p>
          <w:p w14:paraId="2AE1E875"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w:t>
            </w:r>
            <w:r w:rsidRPr="00445908">
              <w:rPr>
                <w:rFonts w:asciiTheme="minorHAnsi" w:hAnsiTheme="minorHAnsi" w:cstheme="minorHAnsi"/>
                <w:b/>
                <w:sz w:val="18"/>
                <w:szCs w:val="18"/>
              </w:rPr>
              <w:t>1.</w:t>
            </w:r>
            <w:r w:rsidRPr="00445908">
              <w:rPr>
                <w:rFonts w:asciiTheme="minorHAnsi" w:hAnsiTheme="minorHAnsi" w:cstheme="minorHAnsi"/>
                <w:sz w:val="18"/>
                <w:szCs w:val="18"/>
              </w:rPr>
              <w:t xml:space="preserve"> Dane przestrzenne dla aktu planowania przestrzennego, w postaci dokumentu elektronicznego GML, stanowiące załącznik, o którym mowa w art. 67a ust 5 ustawy, są podpisywane</w:t>
            </w:r>
            <w:r w:rsidRPr="00445908">
              <w:rPr>
                <w:rFonts w:asciiTheme="minorHAnsi" w:hAnsiTheme="minorHAnsi" w:cstheme="minorHAnsi"/>
                <w:b/>
                <w:sz w:val="18"/>
                <w:szCs w:val="18"/>
              </w:rPr>
              <w:t>:</w:t>
            </w:r>
            <w:r w:rsidRPr="00445908">
              <w:rPr>
                <w:rFonts w:asciiTheme="minorHAnsi" w:hAnsiTheme="minorHAnsi" w:cstheme="minorHAnsi"/>
                <w:sz w:val="18"/>
                <w:szCs w:val="18"/>
              </w:rPr>
              <w:t xml:space="preserve"> kwalifikowanym podpisem elektronicznym, podpisem zaufanym, </w:t>
            </w:r>
            <w:r w:rsidRPr="00445908">
              <w:rPr>
                <w:rFonts w:asciiTheme="minorHAnsi" w:hAnsiTheme="minorHAnsi" w:cstheme="minorHAnsi"/>
                <w:strike/>
                <w:sz w:val="18"/>
                <w:szCs w:val="18"/>
              </w:rPr>
              <w:t>albo</w:t>
            </w:r>
            <w:r w:rsidRPr="00445908">
              <w:rPr>
                <w:rFonts w:asciiTheme="minorHAnsi" w:hAnsiTheme="minorHAnsi" w:cstheme="minorHAnsi"/>
                <w:sz w:val="18"/>
                <w:szCs w:val="18"/>
              </w:rPr>
              <w:t xml:space="preserve"> podpisem osobistym do dnia 30 września 2026 r.</w:t>
            </w:r>
          </w:p>
          <w:p w14:paraId="09583418" w14:textId="379F979D"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b/>
                <w:sz w:val="18"/>
                <w:szCs w:val="18"/>
              </w:rPr>
              <w:t>2.Z dniem 1 października 2026 r. dane przestrzenne nie wymagają podpisu</w:t>
            </w:r>
            <w:r w:rsidRPr="00445908">
              <w:rPr>
                <w:rFonts w:asciiTheme="minorHAnsi" w:hAnsiTheme="minorHAnsi" w:cstheme="minorHAnsi"/>
                <w:sz w:val="18"/>
                <w:szCs w:val="18"/>
              </w:rPr>
              <w:t>”</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17D34181" w14:textId="008823FA"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Dotychczasowa forma przepisu nie jest jednoznaczna i może sugerować, iż tylko podpis osobisty jest ważny do 30 września 2026 r. Dodanie dwukropka wskazałoby na to samą wagę zapisów następujących po nim. Zaproponowany ustęp drugi potwierdza jednoznacznie, iż od 1 października 2026 r. dane przestrzenne nie będą wymagały zatwierdzenia w postaci podpisu (będą udostępniane w Rejestrze Urbanistycznym)</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01D8DB4E" w14:textId="77777777" w:rsidR="009B768E" w:rsidRPr="00445908" w:rsidRDefault="009B768E" w:rsidP="002A5E92">
            <w:pPr>
              <w:spacing w:after="0" w:line="240" w:lineRule="auto"/>
              <w:jc w:val="center"/>
              <w:rPr>
                <w:rFonts w:asciiTheme="minorHAnsi" w:hAnsiTheme="minorHAnsi" w:cstheme="minorHAnsi"/>
                <w:sz w:val="18"/>
                <w:szCs w:val="18"/>
              </w:rPr>
            </w:pPr>
            <w:r w:rsidRPr="00445908">
              <w:rPr>
                <w:rFonts w:asciiTheme="minorHAnsi" w:hAnsiTheme="minorHAnsi" w:cstheme="minorHAnsi"/>
                <w:sz w:val="18"/>
                <w:szCs w:val="18"/>
              </w:rPr>
              <w:t>Uwaga uwzględniona.</w:t>
            </w:r>
          </w:p>
          <w:p w14:paraId="1E84C1F7" w14:textId="7761FCA0"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Zapis zostanie zmieniony, aby jednoznacznie wskazać, że dane nie będą podpisywane.</w:t>
            </w:r>
          </w:p>
        </w:tc>
      </w:tr>
      <w:tr w:rsidR="009B768E" w:rsidRPr="00445908" w14:paraId="254380DE"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56851BC1"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052581CC" w14:textId="77777777" w:rsidR="009B768E" w:rsidRPr="00445908" w:rsidRDefault="009B768E" w:rsidP="009B768E">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Urząd Marszałkowski </w:t>
            </w:r>
          </w:p>
          <w:p w14:paraId="0AF1170D" w14:textId="77777777" w:rsidR="009B768E" w:rsidRPr="00445908" w:rsidRDefault="009B768E" w:rsidP="009B768E">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Województwa</w:t>
            </w:r>
          </w:p>
          <w:p w14:paraId="4B86AAAE" w14:textId="5E0DFA14"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Wielkopolskiego </w:t>
            </w:r>
          </w:p>
        </w:tc>
        <w:tc>
          <w:tcPr>
            <w:tcW w:w="1560" w:type="dxa"/>
            <w:tcBorders>
              <w:top w:val="single" w:sz="4" w:space="0" w:color="000000"/>
              <w:left w:val="single" w:sz="4" w:space="0" w:color="000000"/>
              <w:bottom w:val="single" w:sz="4" w:space="0" w:color="000000"/>
              <w:right w:val="single" w:sz="4" w:space="0" w:color="000000"/>
            </w:tcBorders>
            <w:vAlign w:val="center"/>
          </w:tcPr>
          <w:p w14:paraId="084EC0D0" w14:textId="593FBF7C"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Rozdział 2 §3.1.1)</w:t>
            </w:r>
          </w:p>
        </w:tc>
        <w:tc>
          <w:tcPr>
            <w:tcW w:w="3794" w:type="dxa"/>
            <w:tcBorders>
              <w:top w:val="single" w:sz="4" w:space="0" w:color="000000"/>
              <w:left w:val="single" w:sz="4" w:space="0" w:color="000000"/>
              <w:bottom w:val="single" w:sz="4" w:space="0" w:color="000000"/>
              <w:right w:val="single" w:sz="4" w:space="0" w:color="000000"/>
            </w:tcBorders>
          </w:tcPr>
          <w:p w14:paraId="504798BE" w14:textId="7DA1D94D"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Dodać koleją literę o treści – Plan Obszaru Przyspieszonego Rozwoju OZE</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65BB9F2B" w14:textId="451A5655"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W związku z wejściem w życie przepisów nowelizujących ustawę z dnia 20 lutego 2015 r. o odnawialnych źródłach energii (Dz. U. 2026 r., poz. 68 ze zm.) samorządy województw zostały zobowiązane do sporządzenia planów obszarów przyspieszonego rozwoju instalacji odnawialnych źródeł energii (Plan OPRO).  Plan OPRO, zgodnie z art. 160f i 160h ust. 3 ustawy o odnawialnych źródłach energii, sporządza się na terenie położonym w granicach obszarów uwzględnionych na mapach potencjału odnawialnego źródła energii, który jest jednocześnie objęty miejscowym planem zagospodarowania przestrzennego umożliwiającym lokalizację danego rodzaju instalacji odnawialnego źródła energii. W roku 2026 powstaną pierwsze Plany OPRO. W projekcie rozporządzenia Ministra Klimatu i Środowiska z dnia 22.04.2026 r. w sprawie sposobu przygotowania projektu planu obszarów przyspieszonego rozwoju instalacji odnawialnego źródła energii oraz dokumentowania prac z nim związanych, w § 4 zawarto informację o danych przestrzennych, w szczególności postaci dokumentu elektronicznego GML. Wobec powyższego zasadne jest dodanie nowego aktu planowania przestrzennego o nazwie Plan Obszaru Przyspieszonego Rozwoju OZE.</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1E6EE25B"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69D60EE8" w14:textId="1EEE90FB"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Przedmiotowy dokument nie jest aktem planowania przestrzennego, a propozycja modyfikacji przepisu rozporządzenia wymaga zmian ustawowych.</w:t>
            </w:r>
          </w:p>
        </w:tc>
      </w:tr>
      <w:tr w:rsidR="009B768E" w:rsidRPr="00445908" w14:paraId="50703137"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29B39520"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696CA33F" w14:textId="413CB172"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Urząd Marszałkowski Województwa Łódzkiego</w:t>
            </w:r>
          </w:p>
        </w:tc>
        <w:tc>
          <w:tcPr>
            <w:tcW w:w="1560" w:type="dxa"/>
            <w:tcBorders>
              <w:top w:val="single" w:sz="4" w:space="0" w:color="000000"/>
              <w:left w:val="single" w:sz="4" w:space="0" w:color="000000"/>
              <w:bottom w:val="single" w:sz="4" w:space="0" w:color="000000"/>
              <w:right w:val="single" w:sz="4" w:space="0" w:color="000000"/>
            </w:tcBorders>
          </w:tcPr>
          <w:p w14:paraId="07BF91B0" w14:textId="50702819"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1, strona 1</w:t>
            </w:r>
          </w:p>
        </w:tc>
        <w:tc>
          <w:tcPr>
            <w:tcW w:w="3794" w:type="dxa"/>
            <w:tcBorders>
              <w:top w:val="single" w:sz="4" w:space="0" w:color="000000"/>
              <w:left w:val="single" w:sz="4" w:space="0" w:color="000000"/>
              <w:bottom w:val="single" w:sz="4" w:space="0" w:color="000000"/>
              <w:right w:val="single" w:sz="4" w:space="0" w:color="000000"/>
            </w:tcBorders>
          </w:tcPr>
          <w:p w14:paraId="79BF1E12"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Sugeruje się uzupełnić zapis przypisu nr 1 i nadać mu poniższą formę:  </w:t>
            </w:r>
          </w:p>
          <w:p w14:paraId="33F19452"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Przez liczność rozumie się dopuszczalną minimalną i maksymalną liczbę wystąpień, jakie może mieć dana cecha. Pojedyncze wystąpienia są przedstawiane jako „1”; wielokrotne jako „*”, stała zaś liczba wystąpień, inna niż 1, jest przedstawiana za pomocą odpowiedniej liczby naturalnej (np. „2”, „3” itd.), </w:t>
            </w:r>
          </w:p>
          <w:p w14:paraId="55D3EA53"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lub,</w:t>
            </w:r>
          </w:p>
          <w:p w14:paraId="5B44D2B2" w14:textId="3DD15881"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lastRenderedPageBreak/>
              <w:t>Przez liczność rozumie się dopuszczalną minimalną i maksymalną liczbę wystąpień, jakie może mieć dana cecha. Pojedyncze wystąpienia są przedstawiane jako „1”; wielokrotne jako „*”, stała zaś liczba wystąpień, inna niż 1, jest przedstawiana za pomocą odpowiedniej nieujemnej liczby całkowitej (np. „2”, „3” itd.).</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7A53D49F" w14:textId="233D2B5A"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lastRenderedPageBreak/>
              <w:t xml:space="preserve">Uszczegółowienie treści </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7CB4D10A"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7D10CF6B" w14:textId="3FC4796C"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Brak uzasadnienia dla wprowadzenia propozycji zmiany.</w:t>
            </w:r>
            <w:r w:rsidRPr="00445908">
              <w:rPr>
                <w:rFonts w:asciiTheme="minorHAnsi" w:hAnsiTheme="minorHAnsi" w:cstheme="minorHAnsi"/>
                <w:b/>
                <w:bCs/>
                <w:sz w:val="18"/>
                <w:szCs w:val="18"/>
              </w:rPr>
              <w:t xml:space="preserve"> </w:t>
            </w:r>
            <w:r w:rsidRPr="00445908">
              <w:rPr>
                <w:rFonts w:asciiTheme="minorHAnsi" w:hAnsiTheme="minorHAnsi" w:cstheme="minorHAnsi"/>
                <w:sz w:val="18"/>
                <w:szCs w:val="18"/>
              </w:rPr>
              <w:t xml:space="preserve">Obecne brzmienie nie powoduje wątpliwości interpretacyjnych. W przepisie jest mowa o liczbie wystąpień. </w:t>
            </w:r>
          </w:p>
        </w:tc>
      </w:tr>
      <w:tr w:rsidR="009B768E" w:rsidRPr="00445908" w14:paraId="00F4A6A1"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7B1CFE11"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224BD261" w14:textId="6F7309C2"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Urząd Marszałkowski Województwa Łódzkiego</w:t>
            </w:r>
          </w:p>
        </w:tc>
        <w:tc>
          <w:tcPr>
            <w:tcW w:w="1560" w:type="dxa"/>
            <w:tcBorders>
              <w:top w:val="single" w:sz="4" w:space="0" w:color="000000"/>
              <w:left w:val="single" w:sz="4" w:space="0" w:color="000000"/>
              <w:bottom w:val="single" w:sz="4" w:space="0" w:color="000000"/>
              <w:right w:val="single" w:sz="4" w:space="0" w:color="000000"/>
            </w:tcBorders>
          </w:tcPr>
          <w:p w14:paraId="51D2A4FC" w14:textId="2B4A5C67"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1, strony 16-20, 2.8.Typy i atrybuty obiektu przestrzennego: „</w:t>
            </w:r>
            <w:proofErr w:type="spellStart"/>
            <w:r w:rsidRPr="00445908">
              <w:rPr>
                <w:rFonts w:asciiTheme="minorHAnsi" w:hAnsiTheme="minorHAnsi" w:cstheme="minorHAnsi"/>
                <w:sz w:val="18"/>
                <w:szCs w:val="18"/>
              </w:rPr>
              <w:t>ObszarStandardowDostepnosci</w:t>
            </w:r>
            <w:proofErr w:type="spellEnd"/>
            <w:r w:rsidRPr="00445908">
              <w:rPr>
                <w:rFonts w:asciiTheme="minorHAnsi" w:hAnsiTheme="minorHAnsi" w:cstheme="minorHAnsi"/>
                <w:sz w:val="18"/>
                <w:szCs w:val="18"/>
              </w:rPr>
              <w:t xml:space="preserve"> </w:t>
            </w:r>
            <w:proofErr w:type="spellStart"/>
            <w:r w:rsidRPr="00445908">
              <w:rPr>
                <w:rFonts w:asciiTheme="minorHAnsi" w:hAnsiTheme="minorHAnsi" w:cstheme="minorHAnsi"/>
                <w:sz w:val="18"/>
                <w:szCs w:val="18"/>
              </w:rPr>
              <w:t>InfrastrukturySpolecznej</w:t>
            </w:r>
            <w:proofErr w:type="spellEnd"/>
            <w:r w:rsidRPr="00445908">
              <w:rPr>
                <w:rFonts w:asciiTheme="minorHAnsi" w:hAnsiTheme="minorHAnsi" w:cstheme="minorHAnsi"/>
                <w:sz w:val="18"/>
                <w:szCs w:val="18"/>
              </w:rPr>
              <w:t>”</w:t>
            </w:r>
          </w:p>
        </w:tc>
        <w:tc>
          <w:tcPr>
            <w:tcW w:w="3794" w:type="dxa"/>
            <w:tcBorders>
              <w:top w:val="single" w:sz="4" w:space="0" w:color="000000"/>
              <w:left w:val="single" w:sz="4" w:space="0" w:color="000000"/>
              <w:bottom w:val="single" w:sz="4" w:space="0" w:color="000000"/>
              <w:right w:val="single" w:sz="4" w:space="0" w:color="000000"/>
            </w:tcBorders>
          </w:tcPr>
          <w:p w14:paraId="5EC797E2"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Dla poniższych atrybutów sugeruje się uszczegółowić zapis i nadać wierszom Definicja następującą formę: Wartość atrybutu jest wyrażona </w:t>
            </w:r>
            <w:r w:rsidRPr="00445908">
              <w:rPr>
                <w:rFonts w:asciiTheme="minorHAnsi" w:hAnsiTheme="minorHAnsi" w:cstheme="minorHAnsi"/>
                <w:b/>
                <w:bCs/>
                <w:sz w:val="18"/>
                <w:szCs w:val="18"/>
              </w:rPr>
              <w:t>nieujemną</w:t>
            </w:r>
            <w:r w:rsidRPr="00445908">
              <w:rPr>
                <w:rFonts w:asciiTheme="minorHAnsi" w:hAnsiTheme="minorHAnsi" w:cstheme="minorHAnsi"/>
                <w:sz w:val="18"/>
                <w:szCs w:val="18"/>
              </w:rPr>
              <w:t xml:space="preserve"> liczbą całkowitą</w:t>
            </w:r>
          </w:p>
          <w:p w14:paraId="2A1AA959"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Należy uwzględnić w następujących atrybutach (wierszach):</w:t>
            </w:r>
          </w:p>
          <w:p w14:paraId="5BDF728E"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- 11 Atrybut: </w:t>
            </w:r>
            <w:proofErr w:type="spellStart"/>
            <w:r w:rsidRPr="00445908">
              <w:rPr>
                <w:rFonts w:asciiTheme="minorHAnsi" w:hAnsiTheme="minorHAnsi" w:cstheme="minorHAnsi"/>
                <w:sz w:val="18"/>
                <w:szCs w:val="18"/>
              </w:rPr>
              <w:t>odlegloscDoSzkolyPodstawowej</w:t>
            </w:r>
            <w:proofErr w:type="spellEnd"/>
            <w:r w:rsidRPr="00445908">
              <w:rPr>
                <w:rFonts w:asciiTheme="minorHAnsi" w:hAnsiTheme="minorHAnsi" w:cstheme="minorHAnsi"/>
                <w:sz w:val="18"/>
                <w:szCs w:val="18"/>
              </w:rPr>
              <w:t xml:space="preserve">; </w:t>
            </w:r>
          </w:p>
          <w:p w14:paraId="263A8668"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- 16 Atrybut: </w:t>
            </w:r>
            <w:proofErr w:type="spellStart"/>
            <w:r w:rsidRPr="00445908">
              <w:rPr>
                <w:rFonts w:asciiTheme="minorHAnsi" w:hAnsiTheme="minorHAnsi" w:cstheme="minorHAnsi"/>
                <w:sz w:val="18"/>
                <w:szCs w:val="18"/>
              </w:rPr>
              <w:t>odlegloscDoObszarowZieleniPublicznej</w:t>
            </w:r>
            <w:proofErr w:type="spellEnd"/>
            <w:r w:rsidRPr="00445908">
              <w:rPr>
                <w:rFonts w:asciiTheme="minorHAnsi" w:hAnsiTheme="minorHAnsi" w:cstheme="minorHAnsi"/>
                <w:sz w:val="18"/>
                <w:szCs w:val="18"/>
              </w:rPr>
              <w:t>;</w:t>
            </w:r>
          </w:p>
          <w:p w14:paraId="2E430EF0"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- 36 Atrybut: </w:t>
            </w:r>
            <w:proofErr w:type="spellStart"/>
            <w:r w:rsidRPr="00445908">
              <w:rPr>
                <w:rFonts w:asciiTheme="minorHAnsi" w:hAnsiTheme="minorHAnsi" w:cstheme="minorHAnsi"/>
                <w:sz w:val="18"/>
                <w:szCs w:val="18"/>
              </w:rPr>
              <w:t>odlegloscDoPrzedszkola</w:t>
            </w:r>
            <w:proofErr w:type="spellEnd"/>
            <w:r w:rsidRPr="00445908">
              <w:rPr>
                <w:rFonts w:asciiTheme="minorHAnsi" w:hAnsiTheme="minorHAnsi" w:cstheme="minorHAnsi"/>
                <w:sz w:val="18"/>
                <w:szCs w:val="18"/>
              </w:rPr>
              <w:t>;</w:t>
            </w:r>
          </w:p>
          <w:p w14:paraId="5DA0C7C8"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- 41 Atrybut: </w:t>
            </w:r>
            <w:proofErr w:type="spellStart"/>
            <w:r w:rsidRPr="00445908">
              <w:rPr>
                <w:rFonts w:asciiTheme="minorHAnsi" w:hAnsiTheme="minorHAnsi" w:cstheme="minorHAnsi"/>
                <w:sz w:val="18"/>
                <w:szCs w:val="18"/>
              </w:rPr>
              <w:t>odlegloscDoZlobka</w:t>
            </w:r>
            <w:proofErr w:type="spellEnd"/>
            <w:r w:rsidRPr="00445908">
              <w:rPr>
                <w:rFonts w:asciiTheme="minorHAnsi" w:hAnsiTheme="minorHAnsi" w:cstheme="minorHAnsi"/>
                <w:sz w:val="18"/>
                <w:szCs w:val="18"/>
              </w:rPr>
              <w:t>;</w:t>
            </w:r>
          </w:p>
          <w:p w14:paraId="7C1D1F24"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- 46 Atrybut: </w:t>
            </w:r>
            <w:proofErr w:type="spellStart"/>
            <w:r w:rsidRPr="00445908">
              <w:rPr>
                <w:rFonts w:asciiTheme="minorHAnsi" w:hAnsiTheme="minorHAnsi" w:cstheme="minorHAnsi"/>
                <w:sz w:val="18"/>
                <w:szCs w:val="18"/>
              </w:rPr>
              <w:t>odlegloscDoAmbulatoriumPOZ</w:t>
            </w:r>
            <w:proofErr w:type="spellEnd"/>
            <w:r w:rsidRPr="00445908">
              <w:rPr>
                <w:rFonts w:asciiTheme="minorHAnsi" w:hAnsiTheme="minorHAnsi" w:cstheme="minorHAnsi"/>
                <w:sz w:val="18"/>
                <w:szCs w:val="18"/>
              </w:rPr>
              <w:t xml:space="preserve">; </w:t>
            </w:r>
          </w:p>
          <w:p w14:paraId="04409FF8"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- 51 Atrybut: </w:t>
            </w:r>
            <w:proofErr w:type="spellStart"/>
            <w:r w:rsidRPr="00445908">
              <w:rPr>
                <w:rFonts w:asciiTheme="minorHAnsi" w:hAnsiTheme="minorHAnsi" w:cstheme="minorHAnsi"/>
                <w:sz w:val="18"/>
                <w:szCs w:val="18"/>
              </w:rPr>
              <w:t>odlegloscDoBiblioteki</w:t>
            </w:r>
            <w:proofErr w:type="spellEnd"/>
            <w:r w:rsidRPr="00445908">
              <w:rPr>
                <w:rFonts w:asciiTheme="minorHAnsi" w:hAnsiTheme="minorHAnsi" w:cstheme="minorHAnsi"/>
                <w:sz w:val="18"/>
                <w:szCs w:val="18"/>
              </w:rPr>
              <w:t>;</w:t>
            </w:r>
          </w:p>
          <w:p w14:paraId="3E45922F"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- 56 Atrybut: </w:t>
            </w:r>
            <w:proofErr w:type="spellStart"/>
            <w:r w:rsidRPr="00445908">
              <w:rPr>
                <w:rFonts w:asciiTheme="minorHAnsi" w:hAnsiTheme="minorHAnsi" w:cstheme="minorHAnsi"/>
                <w:sz w:val="18"/>
                <w:szCs w:val="18"/>
              </w:rPr>
              <w:t>odlegloscDoDomuKultury</w:t>
            </w:r>
            <w:proofErr w:type="spellEnd"/>
            <w:r w:rsidRPr="00445908">
              <w:rPr>
                <w:rFonts w:asciiTheme="minorHAnsi" w:hAnsiTheme="minorHAnsi" w:cstheme="minorHAnsi"/>
                <w:sz w:val="18"/>
                <w:szCs w:val="18"/>
              </w:rPr>
              <w:t>;</w:t>
            </w:r>
          </w:p>
          <w:p w14:paraId="0E05EB8B"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- 61 Atrybut: </w:t>
            </w:r>
            <w:proofErr w:type="spellStart"/>
            <w:r w:rsidRPr="00445908">
              <w:rPr>
                <w:rFonts w:asciiTheme="minorHAnsi" w:hAnsiTheme="minorHAnsi" w:cstheme="minorHAnsi"/>
                <w:sz w:val="18"/>
                <w:szCs w:val="18"/>
              </w:rPr>
              <w:t>odlegloscDoDomuPomocySpolecznej</w:t>
            </w:r>
            <w:proofErr w:type="spellEnd"/>
            <w:r w:rsidRPr="00445908">
              <w:rPr>
                <w:rFonts w:asciiTheme="minorHAnsi" w:hAnsiTheme="minorHAnsi" w:cstheme="minorHAnsi"/>
                <w:sz w:val="18"/>
                <w:szCs w:val="18"/>
              </w:rPr>
              <w:t>;</w:t>
            </w:r>
          </w:p>
          <w:p w14:paraId="1429FE81"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- 66 Atrybut: </w:t>
            </w:r>
            <w:proofErr w:type="spellStart"/>
            <w:r w:rsidRPr="00445908">
              <w:rPr>
                <w:rFonts w:asciiTheme="minorHAnsi" w:hAnsiTheme="minorHAnsi" w:cstheme="minorHAnsi"/>
                <w:sz w:val="18"/>
                <w:szCs w:val="18"/>
              </w:rPr>
              <w:t>odlegloscDoUrzadzonegoTerenuSportu</w:t>
            </w:r>
            <w:proofErr w:type="spellEnd"/>
            <w:r w:rsidRPr="00445908">
              <w:rPr>
                <w:rFonts w:asciiTheme="minorHAnsi" w:hAnsiTheme="minorHAnsi" w:cstheme="minorHAnsi"/>
                <w:sz w:val="18"/>
                <w:szCs w:val="18"/>
              </w:rPr>
              <w:t>;</w:t>
            </w:r>
          </w:p>
          <w:p w14:paraId="2A154786"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- 71 Atrybut: </w:t>
            </w:r>
            <w:proofErr w:type="spellStart"/>
            <w:r w:rsidRPr="00445908">
              <w:rPr>
                <w:rFonts w:asciiTheme="minorHAnsi" w:hAnsiTheme="minorHAnsi" w:cstheme="minorHAnsi"/>
                <w:sz w:val="18"/>
                <w:szCs w:val="18"/>
              </w:rPr>
              <w:t>odlegloscDoPrzystanku</w:t>
            </w:r>
            <w:proofErr w:type="spellEnd"/>
            <w:r w:rsidRPr="00445908">
              <w:rPr>
                <w:rFonts w:asciiTheme="minorHAnsi" w:hAnsiTheme="minorHAnsi" w:cstheme="minorHAnsi"/>
                <w:sz w:val="18"/>
                <w:szCs w:val="18"/>
              </w:rPr>
              <w:t>;</w:t>
            </w:r>
          </w:p>
          <w:p w14:paraId="0D659D0D"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- 76 Atrybut: </w:t>
            </w:r>
            <w:proofErr w:type="spellStart"/>
            <w:r w:rsidRPr="00445908">
              <w:rPr>
                <w:rFonts w:asciiTheme="minorHAnsi" w:hAnsiTheme="minorHAnsi" w:cstheme="minorHAnsi"/>
                <w:sz w:val="18"/>
                <w:szCs w:val="18"/>
              </w:rPr>
              <w:t>odlegloscDoPlacowkiPocztowej</w:t>
            </w:r>
            <w:proofErr w:type="spellEnd"/>
            <w:r w:rsidRPr="00445908">
              <w:rPr>
                <w:rFonts w:asciiTheme="minorHAnsi" w:hAnsiTheme="minorHAnsi" w:cstheme="minorHAnsi"/>
                <w:sz w:val="18"/>
                <w:szCs w:val="18"/>
              </w:rPr>
              <w:t>;</w:t>
            </w:r>
          </w:p>
          <w:p w14:paraId="0E46A623"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- 81 Atrybut: </w:t>
            </w:r>
            <w:proofErr w:type="spellStart"/>
            <w:r w:rsidRPr="00445908">
              <w:rPr>
                <w:rFonts w:asciiTheme="minorHAnsi" w:hAnsiTheme="minorHAnsi" w:cstheme="minorHAnsi"/>
                <w:sz w:val="18"/>
                <w:szCs w:val="18"/>
              </w:rPr>
              <w:t>odlegloscDoApteki</w:t>
            </w:r>
            <w:proofErr w:type="spellEnd"/>
            <w:r w:rsidRPr="00445908">
              <w:rPr>
                <w:rFonts w:asciiTheme="minorHAnsi" w:hAnsiTheme="minorHAnsi" w:cstheme="minorHAnsi"/>
                <w:sz w:val="18"/>
                <w:szCs w:val="18"/>
              </w:rPr>
              <w:t>;</w:t>
            </w:r>
          </w:p>
          <w:p w14:paraId="476038D9"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- 86 Atrybut: </w:t>
            </w:r>
            <w:proofErr w:type="spellStart"/>
            <w:r w:rsidRPr="00445908">
              <w:rPr>
                <w:rFonts w:asciiTheme="minorHAnsi" w:hAnsiTheme="minorHAnsi" w:cstheme="minorHAnsi"/>
                <w:sz w:val="18"/>
                <w:szCs w:val="18"/>
              </w:rPr>
              <w:t>odlegloscDoPosterunkuPolicji</w:t>
            </w:r>
            <w:proofErr w:type="spellEnd"/>
            <w:r w:rsidRPr="00445908">
              <w:rPr>
                <w:rFonts w:asciiTheme="minorHAnsi" w:hAnsiTheme="minorHAnsi" w:cstheme="minorHAnsi"/>
                <w:sz w:val="18"/>
                <w:szCs w:val="18"/>
              </w:rPr>
              <w:t xml:space="preserve">; </w:t>
            </w:r>
          </w:p>
          <w:p w14:paraId="191037E8" w14:textId="5171B625"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- 91 Atrybut: </w:t>
            </w:r>
            <w:proofErr w:type="spellStart"/>
            <w:r w:rsidRPr="00445908">
              <w:rPr>
                <w:rFonts w:asciiTheme="minorHAnsi" w:hAnsiTheme="minorHAnsi" w:cstheme="minorHAnsi"/>
                <w:sz w:val="18"/>
                <w:szCs w:val="18"/>
              </w:rPr>
              <w:t>odlegloscDoPosterunkuJednostkiOchronyPrzeciwpozarowej</w:t>
            </w:r>
            <w:proofErr w:type="spellEnd"/>
            <w:r w:rsidRPr="00445908">
              <w:rPr>
                <w:rFonts w:asciiTheme="minorHAnsi" w:hAnsiTheme="minorHAnsi" w:cstheme="minorHAnsi"/>
                <w:sz w:val="18"/>
                <w:szCs w:val="18"/>
              </w:rPr>
              <w:t>.</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1E3D8963" w14:textId="12659711" w:rsidR="009B768E" w:rsidRPr="00445908" w:rsidRDefault="009B768E" w:rsidP="002A5E92">
            <w:pPr>
              <w:spacing w:after="0" w:line="240" w:lineRule="auto"/>
              <w:rPr>
                <w:rFonts w:asciiTheme="minorHAnsi" w:hAnsiTheme="minorHAnsi" w:cstheme="minorHAnsi"/>
                <w:sz w:val="18"/>
                <w:szCs w:val="18"/>
              </w:rPr>
            </w:pPr>
            <w:proofErr w:type="spellStart"/>
            <w:r w:rsidRPr="00445908">
              <w:rPr>
                <w:rFonts w:asciiTheme="minorHAnsi" w:hAnsiTheme="minorHAnsi" w:cstheme="minorHAnsi"/>
                <w:sz w:val="18"/>
                <w:szCs w:val="18"/>
              </w:rPr>
              <w:t>j.w</w:t>
            </w:r>
            <w:proofErr w:type="spellEnd"/>
            <w:r w:rsidRPr="00445908">
              <w:rPr>
                <w:rFonts w:asciiTheme="minorHAnsi" w:hAnsiTheme="minorHAnsi" w:cstheme="minorHAnsi"/>
                <w:sz w:val="18"/>
                <w:szCs w:val="1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5E6110AF"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39CC6718" w14:textId="4CC9FB8A"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Brak uzasadnienia dla wprowadzenia propozycji zmiany.</w:t>
            </w:r>
            <w:r w:rsidRPr="00445908">
              <w:rPr>
                <w:rFonts w:asciiTheme="minorHAnsi" w:hAnsiTheme="minorHAnsi" w:cstheme="minorHAnsi"/>
                <w:b/>
                <w:bCs/>
                <w:sz w:val="18"/>
                <w:szCs w:val="18"/>
              </w:rPr>
              <w:t xml:space="preserve"> </w:t>
            </w:r>
            <w:r w:rsidRPr="00445908">
              <w:rPr>
                <w:rFonts w:asciiTheme="minorHAnsi" w:hAnsiTheme="minorHAnsi" w:cstheme="minorHAnsi"/>
                <w:sz w:val="18"/>
                <w:szCs w:val="18"/>
              </w:rPr>
              <w:t>Obecne brzmienie nie powoduje wątpliwości interpretacyjnych.</w:t>
            </w:r>
          </w:p>
        </w:tc>
      </w:tr>
      <w:tr w:rsidR="009B768E" w:rsidRPr="00445908" w14:paraId="163773E4"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44A91EAB"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270A5818" w14:textId="7BC3C189"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Urząd Marszałkowski Województwa Łódzkiego</w:t>
            </w:r>
          </w:p>
        </w:tc>
        <w:tc>
          <w:tcPr>
            <w:tcW w:w="1560" w:type="dxa"/>
            <w:tcBorders>
              <w:top w:val="single" w:sz="4" w:space="0" w:color="000000"/>
              <w:left w:val="single" w:sz="4" w:space="0" w:color="000000"/>
              <w:bottom w:val="single" w:sz="4" w:space="0" w:color="000000"/>
              <w:right w:val="single" w:sz="4" w:space="0" w:color="000000"/>
            </w:tcBorders>
          </w:tcPr>
          <w:p w14:paraId="52E26B15" w14:textId="1FE48DE5" w:rsidR="009B768E" w:rsidRPr="00445908" w:rsidRDefault="009B768E" w:rsidP="002A5E92">
            <w:pPr>
              <w:spacing w:after="0" w:line="240" w:lineRule="auto"/>
              <w:rPr>
                <w:rFonts w:asciiTheme="minorHAnsi" w:hAnsiTheme="minorHAnsi" w:cstheme="minorHAnsi"/>
                <w:iCs/>
                <w:sz w:val="18"/>
                <w:szCs w:val="18"/>
              </w:rPr>
            </w:pPr>
            <w:r w:rsidRPr="00445908">
              <w:rPr>
                <w:rFonts w:asciiTheme="minorHAnsi" w:hAnsiTheme="minorHAnsi" w:cstheme="minorHAnsi"/>
                <w:sz w:val="18"/>
                <w:szCs w:val="18"/>
              </w:rPr>
              <w:t>Załącznik 1, strony 20-21</w:t>
            </w:r>
          </w:p>
        </w:tc>
        <w:tc>
          <w:tcPr>
            <w:tcW w:w="3794" w:type="dxa"/>
            <w:tcBorders>
              <w:top w:val="single" w:sz="4" w:space="0" w:color="000000"/>
              <w:left w:val="single" w:sz="4" w:space="0" w:color="000000"/>
              <w:bottom w:val="single" w:sz="4" w:space="0" w:color="000000"/>
              <w:right w:val="single" w:sz="4" w:space="0" w:color="000000"/>
            </w:tcBorders>
          </w:tcPr>
          <w:p w14:paraId="5332E0B7" w14:textId="1E245E0A"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W związku powyższą uwagą nasuwa się pytanie czy w przypadkach „Ograniczenie” (wiersze tabeli oznaczone nr: 96; 99; 102; 105; 108; 111; 114; 117; 120; 123; 126; 129; 132; 135, 138; 141; 144; 147, nie powinny zostać uzupełnione o wiersz, w którym by określono charakter zapisu np. „nieujemna liczba całkowita”; lub „liczba dziesiętna” (w tym przypadku z określeniem dokładności, czyli ilości liczb „po przecinku”).</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61E3AF62" w14:textId="743862EC" w:rsidR="009B768E" w:rsidRPr="00445908" w:rsidRDefault="009B768E" w:rsidP="002A5E92">
            <w:pPr>
              <w:spacing w:after="0" w:line="240" w:lineRule="auto"/>
              <w:rPr>
                <w:rFonts w:asciiTheme="minorHAnsi" w:hAnsiTheme="minorHAnsi" w:cstheme="minorHAnsi"/>
                <w:sz w:val="18"/>
                <w:szCs w:val="18"/>
              </w:rPr>
            </w:pPr>
            <w:proofErr w:type="spellStart"/>
            <w:r w:rsidRPr="00445908">
              <w:rPr>
                <w:rFonts w:asciiTheme="minorHAnsi" w:hAnsiTheme="minorHAnsi" w:cstheme="minorHAnsi"/>
                <w:sz w:val="18"/>
                <w:szCs w:val="18"/>
              </w:rPr>
              <w:t>j.w</w:t>
            </w:r>
            <w:proofErr w:type="spellEnd"/>
            <w:r w:rsidRPr="00445908">
              <w:rPr>
                <w:rFonts w:asciiTheme="minorHAnsi" w:hAnsiTheme="minorHAnsi" w:cstheme="minorHAnsi"/>
                <w:sz w:val="18"/>
                <w:szCs w:val="1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3237E7E7"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76CC39CF" w14:textId="25C85F9D" w:rsidR="009B768E" w:rsidRPr="00445908" w:rsidRDefault="009B768E" w:rsidP="002A5E92">
            <w:pPr>
              <w:spacing w:after="0"/>
              <w:rPr>
                <w:rFonts w:asciiTheme="minorHAnsi" w:hAnsiTheme="minorHAnsi" w:cstheme="minorHAnsi"/>
                <w:sz w:val="18"/>
                <w:szCs w:val="18"/>
              </w:rPr>
            </w:pPr>
            <w:r w:rsidRPr="00445908">
              <w:rPr>
                <w:rFonts w:asciiTheme="minorHAnsi" w:hAnsiTheme="minorHAnsi" w:cstheme="minorHAnsi"/>
                <w:sz w:val="18"/>
                <w:szCs w:val="18"/>
              </w:rPr>
              <w:t>Brak uzasadnienia dla wprowadzenia propozycji zmiany.</w:t>
            </w:r>
            <w:r w:rsidRPr="00445908">
              <w:rPr>
                <w:rFonts w:asciiTheme="minorHAnsi" w:hAnsiTheme="minorHAnsi" w:cstheme="minorHAnsi"/>
                <w:b/>
                <w:bCs/>
                <w:sz w:val="18"/>
                <w:szCs w:val="18"/>
              </w:rPr>
              <w:t xml:space="preserve"> </w:t>
            </w:r>
            <w:r w:rsidRPr="00445908">
              <w:rPr>
                <w:rFonts w:asciiTheme="minorHAnsi" w:hAnsiTheme="minorHAnsi" w:cstheme="minorHAnsi"/>
                <w:sz w:val="18"/>
                <w:szCs w:val="18"/>
              </w:rPr>
              <w:t>Obecne brzmienie nie powoduje wątpliwości interpretacyjnych.</w:t>
            </w:r>
          </w:p>
        </w:tc>
      </w:tr>
      <w:tr w:rsidR="009B768E" w:rsidRPr="00445908" w14:paraId="7903A7B7"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1898E864" w14:textId="77777777" w:rsidR="009B768E" w:rsidRPr="00445908" w:rsidRDefault="009B768E" w:rsidP="002A5E9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3D17FDCC" w14:textId="1C461D28"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Urząd Marszałkowski Województwa Łódzkiego</w:t>
            </w:r>
          </w:p>
        </w:tc>
        <w:tc>
          <w:tcPr>
            <w:tcW w:w="1560" w:type="dxa"/>
            <w:tcBorders>
              <w:top w:val="single" w:sz="4" w:space="0" w:color="000000"/>
              <w:left w:val="single" w:sz="4" w:space="0" w:color="000000"/>
              <w:bottom w:val="single" w:sz="4" w:space="0" w:color="000000"/>
              <w:right w:val="single" w:sz="4" w:space="0" w:color="000000"/>
            </w:tcBorders>
          </w:tcPr>
          <w:p w14:paraId="5C706129" w14:textId="48D93CCE"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Załącznik 1, strona 23</w:t>
            </w:r>
          </w:p>
        </w:tc>
        <w:tc>
          <w:tcPr>
            <w:tcW w:w="3794" w:type="dxa"/>
            <w:tcBorders>
              <w:top w:val="single" w:sz="4" w:space="0" w:color="000000"/>
              <w:left w:val="single" w:sz="4" w:space="0" w:color="000000"/>
              <w:bottom w:val="single" w:sz="4" w:space="0" w:color="000000"/>
              <w:right w:val="single" w:sz="4" w:space="0" w:color="000000"/>
            </w:tcBorders>
          </w:tcPr>
          <w:p w14:paraId="50FE8A4B" w14:textId="77777777" w:rsidR="009B768E" w:rsidRPr="00445908" w:rsidRDefault="009B768E" w:rsidP="002A5E92">
            <w:pPr>
              <w:autoSpaceDE w:val="0"/>
              <w:autoSpaceDN w:val="0"/>
              <w:adjustRightInd w:val="0"/>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52 </w:t>
            </w:r>
            <w:r w:rsidRPr="00445908">
              <w:rPr>
                <w:rFonts w:asciiTheme="minorHAnsi" w:hAnsiTheme="minorHAnsi" w:cstheme="minorHAnsi"/>
                <w:sz w:val="18"/>
                <w:szCs w:val="18"/>
              </w:rPr>
              <w:tab/>
              <w:t xml:space="preserve">Ograniczenie: </w:t>
            </w:r>
            <w:r w:rsidRPr="00445908">
              <w:rPr>
                <w:rFonts w:asciiTheme="minorHAnsi" w:hAnsiTheme="minorHAnsi" w:cstheme="minorHAnsi"/>
                <w:sz w:val="18"/>
                <w:szCs w:val="18"/>
              </w:rPr>
              <w:tab/>
            </w:r>
            <w:proofErr w:type="spellStart"/>
            <w:r w:rsidRPr="00445908">
              <w:rPr>
                <w:rFonts w:asciiTheme="minorHAnsi" w:hAnsiTheme="minorHAnsi" w:cstheme="minorHAnsi"/>
                <w:sz w:val="18"/>
                <w:szCs w:val="18"/>
              </w:rPr>
              <w:t>minUdzialPowierzchniBiologicznieCzynnejLimit</w:t>
            </w:r>
            <w:proofErr w:type="spellEnd"/>
            <w:r w:rsidRPr="00445908">
              <w:rPr>
                <w:rFonts w:asciiTheme="minorHAnsi" w:hAnsiTheme="minorHAnsi" w:cstheme="minorHAnsi"/>
                <w:sz w:val="18"/>
                <w:szCs w:val="18"/>
              </w:rPr>
              <w:t xml:space="preserve"> </w:t>
            </w:r>
          </w:p>
          <w:p w14:paraId="5E4C4ADE" w14:textId="500C48D2"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lastRenderedPageBreak/>
              <w:t xml:space="preserve">53 </w:t>
            </w:r>
            <w:r w:rsidRPr="00445908">
              <w:rPr>
                <w:rFonts w:asciiTheme="minorHAnsi" w:hAnsiTheme="minorHAnsi" w:cstheme="minorHAnsi"/>
                <w:sz w:val="18"/>
                <w:szCs w:val="18"/>
              </w:rPr>
              <w:tab/>
              <w:t xml:space="preserve">Język naturalny: </w:t>
            </w:r>
            <w:r w:rsidRPr="00445908">
              <w:rPr>
                <w:rFonts w:asciiTheme="minorHAnsi" w:hAnsiTheme="minorHAnsi" w:cstheme="minorHAnsi"/>
                <w:sz w:val="18"/>
                <w:szCs w:val="18"/>
              </w:rPr>
              <w:tab/>
              <w:t>Minimalny udział powierzchni biologicznie czynnej wyznaczony dla strefy planistycznej nie może przekroczyć 150%.</w:t>
            </w: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2FE112D9" w14:textId="02527782"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lastRenderedPageBreak/>
              <w:t xml:space="preserve">Wątpliwości budzi udział </w:t>
            </w:r>
            <w:proofErr w:type="spellStart"/>
            <w:r w:rsidRPr="00445908">
              <w:rPr>
                <w:rFonts w:asciiTheme="minorHAnsi" w:hAnsiTheme="minorHAnsi" w:cstheme="minorHAnsi"/>
                <w:sz w:val="18"/>
                <w:szCs w:val="18"/>
              </w:rPr>
              <w:t>pbc</w:t>
            </w:r>
            <w:proofErr w:type="spellEnd"/>
            <w:r w:rsidRPr="00445908">
              <w:rPr>
                <w:rFonts w:asciiTheme="minorHAnsi" w:hAnsiTheme="minorHAnsi" w:cstheme="minorHAnsi"/>
                <w:sz w:val="18"/>
                <w:szCs w:val="18"/>
              </w:rPr>
              <w:t xml:space="preserve"> powyżej 100%, zwłaszcza w odniesieniu do wartości udziału </w:t>
            </w:r>
            <w:r w:rsidRPr="00445908">
              <w:rPr>
                <w:rFonts w:asciiTheme="minorHAnsi" w:hAnsiTheme="minorHAnsi" w:cstheme="minorHAnsi"/>
                <w:b/>
                <w:bCs/>
                <w:sz w:val="18"/>
                <w:szCs w:val="18"/>
              </w:rPr>
              <w:t>minimalnego</w:t>
            </w: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30BF7A30" w14:textId="77777777"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689CCD65" w14:textId="3CBF539D" w:rsidR="009B768E" w:rsidRPr="00445908" w:rsidRDefault="009B768E" w:rsidP="002A5E9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Udział powierzchni biologicznie czynnej może przekroczyć 100 % z uwagi na możliwość uwzględnienia powierzchni tarasów i stropodachów, zgodnie z </w:t>
            </w:r>
            <w:r w:rsidRPr="00445908">
              <w:rPr>
                <w:rFonts w:asciiTheme="minorHAnsi" w:hAnsiTheme="minorHAnsi" w:cstheme="minorHAnsi"/>
                <w:sz w:val="18"/>
                <w:szCs w:val="18"/>
              </w:rPr>
              <w:lastRenderedPageBreak/>
              <w:t xml:space="preserve">definicją zawartą w art. 2 pkt 28 ustawy o planowaniu i zagospodarowaniu przestrzennym. </w:t>
            </w:r>
          </w:p>
        </w:tc>
      </w:tr>
      <w:tr w:rsidR="009B768E" w:rsidRPr="00445908" w14:paraId="46649A80" w14:textId="77777777" w:rsidTr="009B768E">
        <w:tc>
          <w:tcPr>
            <w:tcW w:w="462" w:type="dxa"/>
            <w:tcBorders>
              <w:top w:val="single" w:sz="4" w:space="0" w:color="000000"/>
              <w:left w:val="single" w:sz="4" w:space="0" w:color="000000"/>
              <w:bottom w:val="single" w:sz="4" w:space="0" w:color="000000"/>
              <w:right w:val="single" w:sz="4" w:space="0" w:color="000000"/>
            </w:tcBorders>
            <w:vAlign w:val="center"/>
          </w:tcPr>
          <w:p w14:paraId="39680727" w14:textId="77777777" w:rsidR="009B768E" w:rsidRPr="00445908" w:rsidRDefault="009B768E" w:rsidP="00561972">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523" w:type="dxa"/>
            <w:tcBorders>
              <w:top w:val="single" w:sz="4" w:space="0" w:color="000000"/>
              <w:left w:val="single" w:sz="4" w:space="0" w:color="000000"/>
              <w:bottom w:val="single" w:sz="4" w:space="0" w:color="000000"/>
              <w:right w:val="single" w:sz="4" w:space="0" w:color="000000"/>
            </w:tcBorders>
          </w:tcPr>
          <w:p w14:paraId="66E73B82" w14:textId="5FA3C13B" w:rsidR="009B768E" w:rsidRPr="00445908" w:rsidRDefault="009B768E" w:rsidP="0056197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Urząd Marszałkowski Województwa Kujawsko-Pomorskiego</w:t>
            </w:r>
          </w:p>
        </w:tc>
        <w:tc>
          <w:tcPr>
            <w:tcW w:w="1560" w:type="dxa"/>
            <w:tcBorders>
              <w:top w:val="single" w:sz="4" w:space="0" w:color="000000"/>
              <w:left w:val="single" w:sz="4" w:space="0" w:color="000000"/>
              <w:bottom w:val="single" w:sz="4" w:space="0" w:color="000000"/>
              <w:right w:val="single" w:sz="4" w:space="0" w:color="000000"/>
            </w:tcBorders>
          </w:tcPr>
          <w:p w14:paraId="4FE2C9FC" w14:textId="5391B691" w:rsidR="009B768E" w:rsidRPr="00445908" w:rsidRDefault="009B768E" w:rsidP="0056197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uzupełniająca</w:t>
            </w:r>
          </w:p>
        </w:tc>
        <w:tc>
          <w:tcPr>
            <w:tcW w:w="3794" w:type="dxa"/>
            <w:tcBorders>
              <w:top w:val="single" w:sz="4" w:space="0" w:color="000000"/>
              <w:left w:val="single" w:sz="4" w:space="0" w:color="000000"/>
              <w:bottom w:val="single" w:sz="4" w:space="0" w:color="000000"/>
              <w:right w:val="single" w:sz="4" w:space="0" w:color="000000"/>
            </w:tcBorders>
          </w:tcPr>
          <w:p w14:paraId="1815CA45" w14:textId="77777777" w:rsidR="009B768E" w:rsidRPr="00445908" w:rsidRDefault="009B768E" w:rsidP="0056197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Należałoby rozważyć rozszerzenie zakresu projektowanego rozporządzenia poprzez ujęcie w nim zagadnienia tworzenia i publikacji danych przestrzennych dotyczących planów obszarów przyspieszonego rozwoju odnawialnych źródeł energii (OPRO), jako dokumentów powiązanych z aktami planowania przestrzennego wymienionymi w projekcie rozporządzenia.</w:t>
            </w:r>
          </w:p>
          <w:p w14:paraId="4A6BA7A1" w14:textId="77777777" w:rsidR="009B768E" w:rsidRPr="00445908" w:rsidRDefault="009B768E" w:rsidP="00561972">
            <w:pPr>
              <w:autoSpaceDE w:val="0"/>
              <w:autoSpaceDN w:val="0"/>
              <w:adjustRightInd w:val="0"/>
              <w:spacing w:after="0" w:line="240" w:lineRule="auto"/>
              <w:rPr>
                <w:rFonts w:asciiTheme="minorHAnsi" w:hAnsiTheme="minorHAnsi" w:cstheme="minorHAnsi"/>
                <w:sz w:val="18"/>
                <w:szCs w:val="18"/>
              </w:rPr>
            </w:pPr>
          </w:p>
        </w:tc>
        <w:tc>
          <w:tcPr>
            <w:tcW w:w="4002" w:type="dxa"/>
            <w:tcBorders>
              <w:top w:val="single" w:sz="4" w:space="0" w:color="000000"/>
              <w:left w:val="single" w:sz="4" w:space="0" w:color="000000"/>
              <w:bottom w:val="single" w:sz="4" w:space="0" w:color="000000"/>
              <w:right w:val="single" w:sz="4" w:space="0" w:color="000000"/>
            </w:tcBorders>
            <w:shd w:val="clear" w:color="auto" w:fill="FEF1E6"/>
          </w:tcPr>
          <w:p w14:paraId="1F0AB896" w14:textId="77777777" w:rsidR="009B768E" w:rsidRPr="00445908" w:rsidRDefault="009B768E" w:rsidP="00561972">
            <w:pPr>
              <w:spacing w:after="0" w:line="240" w:lineRule="auto"/>
              <w:rPr>
                <w:rFonts w:asciiTheme="minorHAnsi" w:hAnsiTheme="minorHAnsi" w:cstheme="minorHAnsi"/>
                <w:sz w:val="18"/>
                <w:szCs w:val="18"/>
              </w:rPr>
            </w:pPr>
          </w:p>
        </w:tc>
        <w:tc>
          <w:tcPr>
            <w:tcW w:w="3118" w:type="dxa"/>
            <w:tcBorders>
              <w:top w:val="single" w:sz="4" w:space="0" w:color="000000"/>
              <w:left w:val="single" w:sz="4" w:space="0" w:color="000000"/>
              <w:bottom w:val="single" w:sz="4" w:space="0" w:color="000000"/>
              <w:right w:val="single" w:sz="4" w:space="0" w:color="000000"/>
            </w:tcBorders>
            <w:shd w:val="clear" w:color="auto" w:fill="FEF1E6"/>
          </w:tcPr>
          <w:p w14:paraId="16FD7AA2" w14:textId="77777777" w:rsidR="009B768E" w:rsidRPr="00445908" w:rsidRDefault="009B768E" w:rsidP="0056197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Uwaga nieuwzględniona.</w:t>
            </w:r>
          </w:p>
          <w:p w14:paraId="795817F3" w14:textId="155649DC" w:rsidR="009B768E" w:rsidRPr="00445908" w:rsidRDefault="009B768E" w:rsidP="00561972">
            <w:pPr>
              <w:spacing w:after="0" w:line="240" w:lineRule="auto"/>
              <w:rPr>
                <w:rFonts w:asciiTheme="minorHAnsi" w:hAnsiTheme="minorHAnsi" w:cstheme="minorHAnsi"/>
                <w:sz w:val="18"/>
                <w:szCs w:val="18"/>
              </w:rPr>
            </w:pPr>
            <w:r w:rsidRPr="00445908">
              <w:rPr>
                <w:rFonts w:asciiTheme="minorHAnsi" w:hAnsiTheme="minorHAnsi" w:cstheme="minorHAnsi"/>
                <w:sz w:val="18"/>
                <w:szCs w:val="18"/>
              </w:rPr>
              <w:t xml:space="preserve">Poza delegacją ustawową. </w:t>
            </w:r>
          </w:p>
        </w:tc>
      </w:tr>
    </w:tbl>
    <w:p w14:paraId="0B4C8E5B" w14:textId="77777777" w:rsidR="00741ECF" w:rsidRPr="00F64570" w:rsidRDefault="00741ECF" w:rsidP="008E154F">
      <w:pPr>
        <w:spacing w:after="0" w:line="240" w:lineRule="auto"/>
        <w:rPr>
          <w:rFonts w:asciiTheme="minorHAnsi" w:hAnsiTheme="minorHAnsi" w:cstheme="minorHAnsi"/>
          <w:sz w:val="18"/>
          <w:szCs w:val="18"/>
        </w:rPr>
      </w:pPr>
    </w:p>
    <w:sectPr w:rsidR="00741ECF" w:rsidRPr="00F64570">
      <w:footerReference w:type="even" r:id="rId8"/>
      <w:footerReference w:type="default" r:id="rId9"/>
      <w:headerReference w:type="first" r:id="rId10"/>
      <w:footerReference w:type="first" r:id="rId11"/>
      <w:pgSz w:w="16838" w:h="11906" w:orient="landscape"/>
      <w:pgMar w:top="483" w:right="1417" w:bottom="1080" w:left="1417" w:header="426"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F04A5" w14:textId="77777777" w:rsidR="0028060F" w:rsidRDefault="0028060F">
      <w:pPr>
        <w:spacing w:after="0" w:line="240" w:lineRule="auto"/>
      </w:pPr>
      <w:r>
        <w:separator/>
      </w:r>
    </w:p>
  </w:endnote>
  <w:endnote w:type="continuationSeparator" w:id="0">
    <w:p w14:paraId="62E7F905" w14:textId="77777777" w:rsidR="0028060F" w:rsidRDefault="00280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5B27" w14:textId="04A40CA4" w:rsidR="00741ECF" w:rsidRDefault="00B36A65">
    <w:pPr>
      <w:pStyle w:val="Stopka"/>
      <w:ind w:right="360"/>
    </w:pPr>
    <w:r>
      <w:rPr>
        <w:noProof/>
      </w:rPr>
      <mc:AlternateContent>
        <mc:Choice Requires="wps">
          <w:drawing>
            <wp:anchor distT="0" distB="0" distL="0" distR="0" simplePos="0" relativeHeight="251657728" behindDoc="1" locked="0" layoutInCell="0" allowOverlap="1" wp14:anchorId="318F8BE2" wp14:editId="448A31C4">
              <wp:simplePos x="0" y="0"/>
              <wp:positionH relativeFrom="margin">
                <wp:align>right</wp:align>
              </wp:positionH>
              <wp:positionV relativeFrom="paragraph">
                <wp:posOffset>635</wp:posOffset>
              </wp:positionV>
              <wp:extent cx="14605" cy="14605"/>
              <wp:effectExtent l="0" t="0" r="4445" b="0"/>
              <wp:wrapSquare wrapText="bothSides"/>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rect">
                        <a:avLst/>
                      </a:prstGeom>
                      <a:noFill/>
                      <a:ln w="0">
                        <a:noFill/>
                      </a:ln>
                    </wps:spPr>
                    <wps:style>
                      <a:lnRef idx="0">
                        <a:scrgbClr r="0" g="0" b="0"/>
                      </a:lnRef>
                      <a:fillRef idx="0">
                        <a:scrgbClr r="0" g="0" b="0"/>
                      </a:fillRef>
                      <a:effectRef idx="0">
                        <a:scrgbClr r="0" g="0" b="0"/>
                      </a:effectRef>
                      <a:fontRef idx="minor"/>
                    </wps:style>
                    <wps:txbx>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18F8BE2" id="Ramka1" o:spid="_x0000_s1026" style="position:absolute;margin-left:-50.05pt;margin-top:.05pt;width:1.15pt;height:1.15pt;z-index:-25165875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" o:allowincell="f" filled="f" stroked="f" strokeweight="0">
              <v:textbox style="mso-fit-shape-to-text:t" inset="0,0,0,0">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A4F" w14:textId="77777777" w:rsidR="00381E89" w:rsidRDefault="00131D8C">
    <w:pPr>
      <w:pStyle w:val="Stopka"/>
      <w:tabs>
        <w:tab w:val="clear" w:pos="4536"/>
        <w:tab w:val="clear" w:pos="9072"/>
        <w:tab w:val="right" w:pos="14004"/>
      </w:tabs>
      <w:rPr>
        <w:rFonts w:ascii="Cambria" w:hAnsi="Cambria"/>
      </w:rPr>
    </w:pPr>
    <w:r>
      <w:rPr>
        <w:rFonts w:asciiTheme="majorHAnsi" w:eastAsiaTheme="majorEastAsia" w:hAnsiTheme="majorHAnsi"/>
      </w:rPr>
      <w:tab/>
    </w:r>
    <w:r>
      <w:rPr>
        <w:rFonts w:ascii="Cambria" w:hAnsi="Cambria"/>
      </w:rPr>
      <w:t xml:space="preserve"> </w:t>
    </w:r>
    <w:r>
      <w:fldChar w:fldCharType="begin"/>
    </w:r>
    <w:r>
      <w:instrText xml:space="preserve"> PAGE </w:instrText>
    </w:r>
    <w:r>
      <w:fldChar w:fldCharType="separate"/>
    </w:r>
    <w:r>
      <w:t>3</w:t>
    </w:r>
    <w:r>
      <w:fldChar w:fldCharType="end"/>
    </w:r>
  </w:p>
  <w:p w14:paraId="62CBEFDD" w14:textId="019FF445" w:rsidR="00741ECF" w:rsidRDefault="00741ECF">
    <w:pPr>
      <w:pStyle w:val="Stopka"/>
      <w:ind w:right="360"/>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359920"/>
      <w:docPartObj>
        <w:docPartGallery w:val="Page Numbers (Bottom of Page)"/>
        <w:docPartUnique/>
      </w:docPartObj>
    </w:sdtPr>
    <w:sdtContent>
      <w:p w14:paraId="4B3F48B6" w14:textId="77777777" w:rsidR="00381E89" w:rsidRDefault="00131D8C">
        <w:pPr>
          <w:pStyle w:val="Stopka"/>
          <w:jc w:val="right"/>
        </w:pPr>
        <w:r>
          <w:fldChar w:fldCharType="begin"/>
        </w:r>
        <w:r>
          <w:instrText xml:space="preserve"> PAGE </w:instrText>
        </w:r>
        <w:r>
          <w:fldChar w:fldCharType="separate"/>
        </w:r>
        <w:r>
          <w:t>1</w:t>
        </w:r>
        <w:r>
          <w:fldChar w:fldCharType="end"/>
        </w:r>
      </w:p>
    </w:sdtContent>
  </w:sdt>
  <w:p w14:paraId="724F5B6F" w14:textId="486E51A7" w:rsidR="00741ECF" w:rsidRDefault="00741E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64E64" w14:textId="77777777" w:rsidR="0028060F" w:rsidRDefault="0028060F">
      <w:pPr>
        <w:spacing w:after="0" w:line="240" w:lineRule="auto"/>
      </w:pPr>
      <w:r>
        <w:separator/>
      </w:r>
    </w:p>
  </w:footnote>
  <w:footnote w:type="continuationSeparator" w:id="0">
    <w:p w14:paraId="5CA05B3A" w14:textId="77777777" w:rsidR="0028060F" w:rsidRDefault="00280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7FB95" w14:textId="44AEBF16" w:rsidR="00741ECF" w:rsidRDefault="00741ECF">
    <w:pPr>
      <w:pStyle w:val="Nagwek"/>
      <w:spacing w:after="0" w:line="240" w:lineRule="auto"/>
      <w:jc w:val="center"/>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44A5"/>
    <w:multiLevelType w:val="hybridMultilevel"/>
    <w:tmpl w:val="F3FA41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28035F"/>
    <w:multiLevelType w:val="multilevel"/>
    <w:tmpl w:val="20047D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84F4B3F"/>
    <w:multiLevelType w:val="multilevel"/>
    <w:tmpl w:val="0168743A"/>
    <w:lvl w:ilvl="0">
      <w:start w:val="1"/>
      <w:numFmt w:val="decimal"/>
      <w:lvlText w:val="%1."/>
      <w:lvlJc w:val="left"/>
      <w:pPr>
        <w:tabs>
          <w:tab w:val="num" w:pos="-76"/>
        </w:tabs>
        <w:ind w:left="64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023584392">
    <w:abstractNumId w:val="2"/>
  </w:num>
  <w:num w:numId="2" w16cid:durableId="1316492020">
    <w:abstractNumId w:val="1"/>
  </w:num>
  <w:num w:numId="3" w16cid:durableId="16521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ECF"/>
    <w:rsid w:val="00005EF4"/>
    <w:rsid w:val="00033AB9"/>
    <w:rsid w:val="00041D8D"/>
    <w:rsid w:val="000473BF"/>
    <w:rsid w:val="00070C67"/>
    <w:rsid w:val="00086D9D"/>
    <w:rsid w:val="000A34D8"/>
    <w:rsid w:val="000B23BD"/>
    <w:rsid w:val="000C3F5B"/>
    <w:rsid w:val="000E5F2C"/>
    <w:rsid w:val="00100C92"/>
    <w:rsid w:val="00102F29"/>
    <w:rsid w:val="00131D8C"/>
    <w:rsid w:val="00132C49"/>
    <w:rsid w:val="00144EC9"/>
    <w:rsid w:val="001623E1"/>
    <w:rsid w:val="001659E9"/>
    <w:rsid w:val="0019797B"/>
    <w:rsid w:val="001A4165"/>
    <w:rsid w:val="001C2539"/>
    <w:rsid w:val="00200DB8"/>
    <w:rsid w:val="0024556B"/>
    <w:rsid w:val="00267C0F"/>
    <w:rsid w:val="0028060F"/>
    <w:rsid w:val="002953F3"/>
    <w:rsid w:val="002A5A52"/>
    <w:rsid w:val="002A5E92"/>
    <w:rsid w:val="002C33B9"/>
    <w:rsid w:val="002F3A46"/>
    <w:rsid w:val="003043EA"/>
    <w:rsid w:val="00356CF6"/>
    <w:rsid w:val="00381E89"/>
    <w:rsid w:val="003835C8"/>
    <w:rsid w:val="003B07EF"/>
    <w:rsid w:val="003B3F2F"/>
    <w:rsid w:val="003D047B"/>
    <w:rsid w:val="003D7D11"/>
    <w:rsid w:val="003E3A7A"/>
    <w:rsid w:val="0042203E"/>
    <w:rsid w:val="0043452B"/>
    <w:rsid w:val="004370DB"/>
    <w:rsid w:val="00445908"/>
    <w:rsid w:val="00445AFC"/>
    <w:rsid w:val="0048035E"/>
    <w:rsid w:val="0048540A"/>
    <w:rsid w:val="004A2CFD"/>
    <w:rsid w:val="004B7EB7"/>
    <w:rsid w:val="004C1D0F"/>
    <w:rsid w:val="004D210C"/>
    <w:rsid w:val="004D3C89"/>
    <w:rsid w:val="004F6CF5"/>
    <w:rsid w:val="00505114"/>
    <w:rsid w:val="00505757"/>
    <w:rsid w:val="005060C6"/>
    <w:rsid w:val="00512E60"/>
    <w:rsid w:val="00513E4C"/>
    <w:rsid w:val="00520C95"/>
    <w:rsid w:val="00526124"/>
    <w:rsid w:val="00533000"/>
    <w:rsid w:val="00534A7D"/>
    <w:rsid w:val="00561972"/>
    <w:rsid w:val="00572CD7"/>
    <w:rsid w:val="005826C7"/>
    <w:rsid w:val="005E0487"/>
    <w:rsid w:val="00602A89"/>
    <w:rsid w:val="0061230F"/>
    <w:rsid w:val="00617935"/>
    <w:rsid w:val="0062602E"/>
    <w:rsid w:val="006425B1"/>
    <w:rsid w:val="00643EBB"/>
    <w:rsid w:val="006478F8"/>
    <w:rsid w:val="0065759F"/>
    <w:rsid w:val="00660907"/>
    <w:rsid w:val="006C3290"/>
    <w:rsid w:val="006C37F6"/>
    <w:rsid w:val="006D6DD4"/>
    <w:rsid w:val="006E0A03"/>
    <w:rsid w:val="006F4D1C"/>
    <w:rsid w:val="00717565"/>
    <w:rsid w:val="00717D02"/>
    <w:rsid w:val="00727D93"/>
    <w:rsid w:val="00741ECF"/>
    <w:rsid w:val="00770982"/>
    <w:rsid w:val="007757BD"/>
    <w:rsid w:val="00790037"/>
    <w:rsid w:val="007A21E9"/>
    <w:rsid w:val="007A5AF7"/>
    <w:rsid w:val="007B230F"/>
    <w:rsid w:val="007C1949"/>
    <w:rsid w:val="007D0269"/>
    <w:rsid w:val="007D6F5E"/>
    <w:rsid w:val="007F7FA3"/>
    <w:rsid w:val="008115E8"/>
    <w:rsid w:val="00812897"/>
    <w:rsid w:val="008178B4"/>
    <w:rsid w:val="0082658F"/>
    <w:rsid w:val="008437E1"/>
    <w:rsid w:val="00871113"/>
    <w:rsid w:val="00872AFF"/>
    <w:rsid w:val="008818AC"/>
    <w:rsid w:val="008852D6"/>
    <w:rsid w:val="00895A65"/>
    <w:rsid w:val="008B31C1"/>
    <w:rsid w:val="008E154F"/>
    <w:rsid w:val="008F3902"/>
    <w:rsid w:val="00916B8A"/>
    <w:rsid w:val="00930978"/>
    <w:rsid w:val="009515F8"/>
    <w:rsid w:val="00951648"/>
    <w:rsid w:val="009606AA"/>
    <w:rsid w:val="009662C8"/>
    <w:rsid w:val="0096777B"/>
    <w:rsid w:val="00974D88"/>
    <w:rsid w:val="00992B97"/>
    <w:rsid w:val="009B768E"/>
    <w:rsid w:val="009B7F66"/>
    <w:rsid w:val="009D428C"/>
    <w:rsid w:val="009F23AF"/>
    <w:rsid w:val="00A239D2"/>
    <w:rsid w:val="00A25B3A"/>
    <w:rsid w:val="00A81989"/>
    <w:rsid w:val="00A95C67"/>
    <w:rsid w:val="00AB1701"/>
    <w:rsid w:val="00AD6471"/>
    <w:rsid w:val="00AF6252"/>
    <w:rsid w:val="00B026B3"/>
    <w:rsid w:val="00B02EAA"/>
    <w:rsid w:val="00B30041"/>
    <w:rsid w:val="00B36A65"/>
    <w:rsid w:val="00B40E82"/>
    <w:rsid w:val="00B51D07"/>
    <w:rsid w:val="00B60594"/>
    <w:rsid w:val="00B61D79"/>
    <w:rsid w:val="00B832EE"/>
    <w:rsid w:val="00BA7275"/>
    <w:rsid w:val="00BF7C10"/>
    <w:rsid w:val="00C10BEC"/>
    <w:rsid w:val="00C41C28"/>
    <w:rsid w:val="00C44421"/>
    <w:rsid w:val="00C66AA7"/>
    <w:rsid w:val="00C94A8B"/>
    <w:rsid w:val="00CC15CE"/>
    <w:rsid w:val="00CE7D44"/>
    <w:rsid w:val="00CF7D47"/>
    <w:rsid w:val="00D01597"/>
    <w:rsid w:val="00D04198"/>
    <w:rsid w:val="00D1047C"/>
    <w:rsid w:val="00D124B1"/>
    <w:rsid w:val="00D350DB"/>
    <w:rsid w:val="00D43309"/>
    <w:rsid w:val="00D55981"/>
    <w:rsid w:val="00D879B4"/>
    <w:rsid w:val="00D91DCD"/>
    <w:rsid w:val="00DB5FEE"/>
    <w:rsid w:val="00DC4C40"/>
    <w:rsid w:val="00DD7CB3"/>
    <w:rsid w:val="00DF1004"/>
    <w:rsid w:val="00E06C69"/>
    <w:rsid w:val="00E07F54"/>
    <w:rsid w:val="00E165D2"/>
    <w:rsid w:val="00E232D6"/>
    <w:rsid w:val="00E46334"/>
    <w:rsid w:val="00E47424"/>
    <w:rsid w:val="00E50243"/>
    <w:rsid w:val="00E53614"/>
    <w:rsid w:val="00E973AE"/>
    <w:rsid w:val="00EA52EA"/>
    <w:rsid w:val="00ED2B33"/>
    <w:rsid w:val="00EE343E"/>
    <w:rsid w:val="00EE349F"/>
    <w:rsid w:val="00F41375"/>
    <w:rsid w:val="00F64570"/>
    <w:rsid w:val="00F76835"/>
    <w:rsid w:val="00FB44C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91718"/>
  <w15:docId w15:val="{502CEDEB-C2DC-4C88-AAF7-56C9AE73D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FF16BE"/>
    <w:rPr>
      <w:rFonts w:cs="Times New Roman"/>
      <w:color w:val="0000FF"/>
      <w:u w:val="single"/>
    </w:rPr>
  </w:style>
  <w:style w:type="character" w:customStyle="1" w:styleId="StopkaZnak">
    <w:name w:val="Stopka Znak"/>
    <w:basedOn w:val="Domylnaczcionkaakapitu"/>
    <w:link w:val="Stopka"/>
    <w:uiPriority w:val="99"/>
    <w:qFormat/>
    <w:locked/>
    <w:rsid w:val="00FF16BE"/>
    <w:rPr>
      <w:rFonts w:ascii="Times New Roman" w:hAnsi="Times New Roman" w:cs="Times New Roman"/>
      <w:sz w:val="24"/>
    </w:rPr>
  </w:style>
  <w:style w:type="character" w:styleId="Numerstrony">
    <w:name w:val="page number"/>
    <w:basedOn w:val="Domylnaczcionkaakapitu"/>
    <w:uiPriority w:val="99"/>
    <w:rsid w:val="00FF16BE"/>
    <w:rPr>
      <w:rFonts w:cs="Times New Roman"/>
    </w:rPr>
  </w:style>
  <w:style w:type="character" w:customStyle="1" w:styleId="NagwekZnak">
    <w:name w:val="Nagłówek Znak"/>
    <w:basedOn w:val="Domylnaczcionkaakapitu"/>
    <w:link w:val="Nagwek"/>
    <w:uiPriority w:val="99"/>
    <w:qFormat/>
    <w:locked/>
    <w:rsid w:val="00FB65B3"/>
    <w:rPr>
      <w:rFonts w:cs="Times New Roman"/>
      <w:sz w:val="22"/>
      <w:lang w:val="x-none" w:eastAsia="en-US"/>
    </w:rPr>
  </w:style>
  <w:style w:type="character" w:customStyle="1" w:styleId="TekstdymkaZnak">
    <w:name w:val="Tekst dymka Znak"/>
    <w:basedOn w:val="Domylnaczcionkaakapitu"/>
    <w:link w:val="Tekstdymka"/>
    <w:uiPriority w:val="99"/>
    <w:semiHidden/>
    <w:qFormat/>
    <w:locked/>
    <w:rsid w:val="00FB65B3"/>
    <w:rPr>
      <w:rFonts w:ascii="Tahoma" w:hAnsi="Tahoma" w:cs="Times New Roman"/>
      <w:sz w:val="16"/>
      <w:lang w:val="x-none" w:eastAsia="en-US"/>
    </w:rPr>
  </w:style>
  <w:style w:type="character" w:customStyle="1" w:styleId="TekstprzypisukocowegoZnak">
    <w:name w:val="Tekst przypisu końcowego Znak"/>
    <w:basedOn w:val="Domylnaczcionkaakapitu"/>
    <w:link w:val="Tekstprzypisukocowego"/>
    <w:uiPriority w:val="99"/>
    <w:semiHidden/>
    <w:qFormat/>
    <w:locked/>
    <w:rsid w:val="00FB65B3"/>
    <w:rPr>
      <w:rFonts w:cs="Times New Roman"/>
      <w:lang w:val="x-none" w:eastAsia="en-US"/>
    </w:rPr>
  </w:style>
  <w:style w:type="character" w:customStyle="1" w:styleId="Znakiprzypiswkocowych">
    <w:name w:val="Znaki przypisów końcowych"/>
    <w:uiPriority w:val="99"/>
    <w:semiHidden/>
    <w:unhideWhenUsed/>
    <w:qFormat/>
    <w:rsid w:val="00FB65B3"/>
    <w:rPr>
      <w:rFonts w:cs="Times New Roman"/>
      <w:vertAlign w:val="superscript"/>
    </w:rPr>
  </w:style>
  <w:style w:type="character" w:customStyle="1" w:styleId="Znakiprzypiswkocowychuser">
    <w:name w:val="Znaki przypisów końcowych (user)"/>
    <w:qFormat/>
    <w:rPr>
      <w:rFonts w:cs="Times New Roman"/>
      <w:vertAlign w:val="superscript"/>
    </w:rPr>
  </w:style>
  <w:style w:type="character" w:styleId="Odwoanieprzypisukocowego">
    <w:name w:val="endnote reference"/>
    <w:rPr>
      <w:rFonts w:cs="Times New Roman"/>
      <w:vertAlign w:val="superscript"/>
    </w:rPr>
  </w:style>
  <w:style w:type="character" w:styleId="Nierozpoznanawzmianka">
    <w:name w:val="Unresolved Mention"/>
    <w:basedOn w:val="Domylnaczcionkaakapitu"/>
    <w:uiPriority w:val="99"/>
    <w:semiHidden/>
    <w:unhideWhenUsed/>
    <w:qFormat/>
    <w:rsid w:val="0012361B"/>
    <w:rPr>
      <w:color w:val="605E5C"/>
      <w:shd w:val="clear" w:color="auto" w:fill="E1DFDD"/>
    </w:rPr>
  </w:style>
  <w:style w:type="paragraph" w:styleId="Nagwek">
    <w:name w:val="header"/>
    <w:basedOn w:val="Normalny"/>
    <w:next w:val="Tekstpodstawowy"/>
    <w:link w:val="NagwekZnak"/>
    <w:uiPriority w:val="99"/>
    <w:unhideWhenUsed/>
    <w:rsid w:val="00FB65B3"/>
    <w:pPr>
      <w:tabs>
        <w:tab w:val="center" w:pos="4536"/>
        <w:tab w:val="right" w:pos="9072"/>
      </w:tabs>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rsid w:val="00FF16BE"/>
    <w:pPr>
      <w:tabs>
        <w:tab w:val="center" w:pos="4536"/>
        <w:tab w:val="right" w:pos="9072"/>
      </w:tabs>
      <w:spacing w:after="0" w:line="240" w:lineRule="auto"/>
    </w:pPr>
    <w:rPr>
      <w:rFonts w:ascii="Times New Roman" w:hAnsi="Times New Roman"/>
      <w:sz w:val="24"/>
      <w:szCs w:val="24"/>
      <w:lang w:eastAsia="pl-PL"/>
    </w:rPr>
  </w:style>
  <w:style w:type="paragraph" w:styleId="Tekstdymka">
    <w:name w:val="Balloon Text"/>
    <w:basedOn w:val="Normalny"/>
    <w:link w:val="TekstdymkaZnak"/>
    <w:uiPriority w:val="99"/>
    <w:semiHidden/>
    <w:unhideWhenUsed/>
    <w:qFormat/>
    <w:rsid w:val="00FB65B3"/>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FB65B3"/>
    <w:rPr>
      <w:sz w:val="20"/>
      <w:szCs w:val="20"/>
    </w:rPr>
  </w:style>
  <w:style w:type="paragraph" w:styleId="Bezodstpw">
    <w:name w:val="No Spacing"/>
    <w:uiPriority w:val="1"/>
    <w:qFormat/>
    <w:rsid w:val="00EC0A61"/>
    <w:rPr>
      <w:rFonts w:cs="Times New Roman"/>
      <w:sz w:val="22"/>
      <w:szCs w:val="22"/>
      <w:lang w:eastAsia="en-US"/>
    </w:rPr>
  </w:style>
  <w:style w:type="paragraph" w:customStyle="1" w:styleId="ZARTzmartartykuempunktem">
    <w:name w:val="Z/ART(§) – zm. art. (§) artykułem (punktem)"/>
    <w:basedOn w:val="Normalny"/>
    <w:uiPriority w:val="30"/>
    <w:qFormat/>
    <w:rsid w:val="0012361B"/>
    <w:pPr>
      <w:spacing w:after="0" w:line="360" w:lineRule="auto"/>
      <w:ind w:left="510" w:firstLine="510"/>
      <w:jc w:val="both"/>
    </w:pPr>
    <w:rPr>
      <w:rFonts w:ascii="Times" w:eastAsiaTheme="minorEastAsia" w:hAnsi="Times" w:cs="Arial"/>
      <w:sz w:val="24"/>
      <w:szCs w:val="20"/>
      <w:lang w:eastAsia="pl-PL"/>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table" w:styleId="Tabela-Siatka">
    <w:name w:val="Table Grid"/>
    <w:basedOn w:val="Standardowy"/>
    <w:uiPriority w:val="59"/>
    <w:rsid w:val="00186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035E"/>
    <w:rPr>
      <w:rFonts w:ascii="Times New Roman" w:hAnsi="Times New Roman"/>
      <w:color w:val="000000"/>
      <w:sz w:val="24"/>
    </w:rPr>
  </w:style>
  <w:style w:type="character" w:styleId="Odwoaniedokomentarza">
    <w:name w:val="annotation reference"/>
    <w:basedOn w:val="Domylnaczcionkaakapitu"/>
    <w:uiPriority w:val="99"/>
    <w:rsid w:val="003B3F2F"/>
    <w:rPr>
      <w:sz w:val="16"/>
      <w:szCs w:val="16"/>
    </w:rPr>
  </w:style>
  <w:style w:type="paragraph" w:styleId="Tekstkomentarza">
    <w:name w:val="annotation text"/>
    <w:basedOn w:val="Normalny"/>
    <w:link w:val="TekstkomentarzaZnak"/>
    <w:uiPriority w:val="99"/>
    <w:rsid w:val="003B3F2F"/>
    <w:pPr>
      <w:spacing w:line="240" w:lineRule="auto"/>
    </w:pPr>
    <w:rPr>
      <w:sz w:val="20"/>
      <w:szCs w:val="20"/>
    </w:rPr>
  </w:style>
  <w:style w:type="character" w:customStyle="1" w:styleId="TekstkomentarzaZnak">
    <w:name w:val="Tekst komentarza Znak"/>
    <w:basedOn w:val="Domylnaczcionkaakapitu"/>
    <w:link w:val="Tekstkomentarza"/>
    <w:uiPriority w:val="99"/>
    <w:rsid w:val="003B3F2F"/>
    <w:rPr>
      <w:rFonts w:cs="Times New Roman"/>
      <w:lang w:eastAsia="en-US"/>
    </w:rPr>
  </w:style>
  <w:style w:type="paragraph" w:styleId="Tematkomentarza">
    <w:name w:val="annotation subject"/>
    <w:basedOn w:val="Tekstkomentarza"/>
    <w:next w:val="Tekstkomentarza"/>
    <w:link w:val="TematkomentarzaZnak"/>
    <w:uiPriority w:val="99"/>
    <w:semiHidden/>
    <w:unhideWhenUsed/>
    <w:rsid w:val="003B3F2F"/>
    <w:rPr>
      <w:b/>
      <w:bCs/>
    </w:rPr>
  </w:style>
  <w:style w:type="character" w:customStyle="1" w:styleId="TematkomentarzaZnak">
    <w:name w:val="Temat komentarza Znak"/>
    <w:basedOn w:val="TekstkomentarzaZnak"/>
    <w:link w:val="Tematkomentarza"/>
    <w:uiPriority w:val="99"/>
    <w:semiHidden/>
    <w:rsid w:val="003B3F2F"/>
    <w:rPr>
      <w:rFonts w:cs="Times New Roman"/>
      <w:b/>
      <w:bCs/>
      <w:lang w:eastAsia="en-US"/>
    </w:rPr>
  </w:style>
  <w:style w:type="paragraph" w:styleId="Poprawka">
    <w:name w:val="Revision"/>
    <w:hidden/>
    <w:uiPriority w:val="99"/>
    <w:semiHidden/>
    <w:rsid w:val="00534A7D"/>
    <w:pPr>
      <w:suppressAutoHyphens w:val="0"/>
    </w:pPr>
    <w:rPr>
      <w:rFonts w:cs="Times New Roman"/>
      <w:sz w:val="22"/>
      <w:szCs w:val="22"/>
      <w:lang w:eastAsia="en-US"/>
    </w:rPr>
  </w:style>
  <w:style w:type="character" w:customStyle="1" w:styleId="Ppogrubienie">
    <w:name w:val="_P_ – pogrubienie"/>
    <w:basedOn w:val="Domylnaczcionkaakapitu"/>
    <w:uiPriority w:val="1"/>
    <w:qFormat/>
    <w:rsid w:val="00005EF4"/>
    <w:rPr>
      <w:b/>
    </w:rPr>
  </w:style>
  <w:style w:type="character" w:styleId="UyteHipercze">
    <w:name w:val="FollowedHyperlink"/>
    <w:basedOn w:val="Domylnaczcionkaakapitu"/>
    <w:uiPriority w:val="99"/>
    <w:rsid w:val="009662C8"/>
    <w:rPr>
      <w:color w:val="800080" w:themeColor="followedHyperlink"/>
      <w:u w:val="single"/>
    </w:rPr>
  </w:style>
  <w:style w:type="paragraph" w:styleId="NormalnyWeb">
    <w:name w:val="Normal (Web)"/>
    <w:basedOn w:val="Normalny"/>
    <w:uiPriority w:val="99"/>
    <w:rsid w:val="007A5AF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4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A045D-DDB1-4EDD-9A56-37C5051C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2732</Words>
  <Characters>16398</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Motyl</dc:creator>
  <dc:description/>
  <cp:lastModifiedBy>Herman Anna</cp:lastModifiedBy>
  <cp:revision>2</cp:revision>
  <cp:lastPrinted>2026-04-16T15:10:00Z</cp:lastPrinted>
  <dcterms:created xsi:type="dcterms:W3CDTF">2026-06-12T12:32:00Z</dcterms:created>
  <dcterms:modified xsi:type="dcterms:W3CDTF">2026-06-12T12:32:00Z</dcterms:modified>
  <dc:language>pl-PL</dc:language>
</cp:coreProperties>
</file>